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19" w:leftChars="-295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6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 w:val="0"/>
          <w:bCs w:val="0"/>
          <w:sz w:val="24"/>
          <w:lang w:eastAsia="zh-CN"/>
        </w:rPr>
        <w:t>附表</w:t>
      </w:r>
      <w:r>
        <w:rPr>
          <w:rFonts w:hint="eastAsia" w:ascii="仿宋_GB2312" w:hAnsi="仿宋_GB2312" w:eastAsia="仿宋_GB2312"/>
          <w:b w:val="0"/>
          <w:bCs w:val="0"/>
          <w:sz w:val="24"/>
          <w:lang w:val="en-US" w:eastAsia="zh-CN"/>
        </w:rPr>
        <w:t>2</w:t>
      </w:r>
    </w:p>
    <w:p>
      <w:pPr>
        <w:ind w:left="-420" w:leftChars="-200" w:right="0" w:rightChars="0" w:firstLine="0" w:firstLineChars="0"/>
        <w:jc w:val="center"/>
        <w:rPr>
          <w:rFonts w:hint="eastAsia" w:ascii="仿宋_GB2312" w:hAnsi="仿宋_GB2312" w:eastAsia="仿宋_GB2312"/>
          <w:b/>
          <w:bCs/>
          <w:sz w:val="36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6"/>
          <w:lang w:eastAsia="zh-CN"/>
        </w:rPr>
        <w:t>县（市、区）旅游统计</w:t>
      </w:r>
      <w:r>
        <w:rPr>
          <w:rFonts w:hint="eastAsia" w:ascii="仿宋_GB2312" w:hAnsi="仿宋_GB2312" w:eastAsia="仿宋_GB2312"/>
          <w:b/>
          <w:bCs/>
          <w:sz w:val="36"/>
          <w:lang w:val="en-US" w:eastAsia="zh-CN"/>
        </w:rPr>
        <w:t>2017年</w:t>
      </w:r>
      <w:bookmarkStart w:id="0" w:name="_GoBack"/>
      <w:bookmarkEnd w:id="0"/>
      <w:r>
        <w:rPr>
          <w:rFonts w:hint="eastAsia" w:ascii="仿宋_GB2312" w:hAnsi="仿宋_GB2312" w:eastAsia="仿宋_GB2312"/>
          <w:b/>
          <w:bCs/>
          <w:sz w:val="36"/>
          <w:lang w:val="en-US" w:eastAsia="zh-CN"/>
        </w:rPr>
        <w:t>报表</w:t>
      </w:r>
    </w:p>
    <w:p>
      <w:pPr>
        <w:ind w:left="-420" w:leftChars="-20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</w:pPr>
    </w:p>
    <w:p>
      <w:pPr>
        <w:ind w:left="0" w:leftChars="-400" w:right="0" w:rightChars="0" w:hanging="840" w:hangingChars="350"/>
        <w:jc w:val="both"/>
        <w:rPr>
          <w:rFonts w:hint="eastAsia" w:ascii="仿宋_GB2312" w:hAnsi="仿宋_GB2312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  <w:t xml:space="preserve"> 填报单位：（盖章）五台山旅游发展局</w:t>
      </w:r>
    </w:p>
    <w:tbl>
      <w:tblPr>
        <w:tblStyle w:val="3"/>
        <w:tblW w:w="15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183"/>
        <w:gridCol w:w="929"/>
        <w:gridCol w:w="1202"/>
        <w:gridCol w:w="1014"/>
        <w:gridCol w:w="1080"/>
        <w:gridCol w:w="840"/>
        <w:gridCol w:w="1187"/>
        <w:gridCol w:w="823"/>
        <w:gridCol w:w="895"/>
        <w:gridCol w:w="1202"/>
        <w:gridCol w:w="993"/>
        <w:gridCol w:w="1360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900" w:type="dxa"/>
            <w:vMerge w:val="restart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 xml:space="preserve">   名  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328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 xml:space="preserve"> 接 待 游 客</w:t>
            </w:r>
          </w:p>
        </w:tc>
        <w:tc>
          <w:tcPr>
            <w:tcW w:w="39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 xml:space="preserve"> 门 票 收 入 </w:t>
            </w:r>
          </w:p>
        </w:tc>
        <w:tc>
          <w:tcPr>
            <w:tcW w:w="895" w:type="dxa"/>
            <w:vMerge w:val="restart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门票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价格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1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4287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/>
                <w:b w:val="0"/>
                <w:bCs w:val="0"/>
                <w:sz w:val="28"/>
                <w:vertAlign w:val="baseline"/>
                <w:lang w:val="en-US" w:eastAsia="zh-CN"/>
              </w:rPr>
              <w:t xml:space="preserve">  旅 游 总 收 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900" w:type="dxa"/>
            <w:vMerge w:val="continue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本 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（万人次）</w:t>
            </w:r>
          </w:p>
        </w:tc>
        <w:tc>
          <w:tcPr>
            <w:tcW w:w="92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同 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（%）</w:t>
            </w: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累计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（万人次）</w:t>
            </w:r>
          </w:p>
        </w:tc>
        <w:tc>
          <w:tcPr>
            <w:tcW w:w="101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同 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（%）</w:t>
            </w:r>
          </w:p>
        </w:tc>
        <w:tc>
          <w:tcPr>
            <w:tcW w:w="1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本 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（万元）</w:t>
            </w:r>
          </w:p>
        </w:tc>
        <w:tc>
          <w:tcPr>
            <w:tcW w:w="84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同 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（%）</w:t>
            </w:r>
          </w:p>
        </w:tc>
        <w:tc>
          <w:tcPr>
            <w:tcW w:w="11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累 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82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同 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（%）</w:t>
            </w:r>
          </w:p>
        </w:tc>
        <w:tc>
          <w:tcPr>
            <w:tcW w:w="895" w:type="dxa"/>
            <w:vMerge w:val="continue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本 期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9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同 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（%）</w:t>
            </w:r>
          </w:p>
        </w:tc>
        <w:tc>
          <w:tcPr>
            <w:tcW w:w="13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累 计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73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同 比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1"/>
                <w:vertAlign w:val="baseline"/>
                <w:lang w:val="en-US" w:eastAsia="zh-CN"/>
              </w:rPr>
              <w:t xml:space="preserve"> 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五台山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            </w:t>
            </w:r>
          </w:p>
        </w:tc>
        <w:tc>
          <w:tcPr>
            <w:tcW w:w="118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20.9</w:t>
            </w:r>
          </w:p>
        </w:tc>
        <w:tc>
          <w:tcPr>
            <w:tcW w:w="92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11.5</w:t>
            </w: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568.6</w:t>
            </w:r>
          </w:p>
        </w:tc>
        <w:tc>
          <w:tcPr>
            <w:tcW w:w="101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1043.63</w:t>
            </w:r>
          </w:p>
        </w:tc>
        <w:tc>
          <w:tcPr>
            <w:tcW w:w="84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-2</w:t>
            </w:r>
          </w:p>
        </w:tc>
        <w:tc>
          <w:tcPr>
            <w:tcW w:w="118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32543.21</w:t>
            </w:r>
          </w:p>
        </w:tc>
        <w:tc>
          <w:tcPr>
            <w:tcW w:w="82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  1</w:t>
            </w:r>
          </w:p>
        </w:tc>
        <w:tc>
          <w:tcPr>
            <w:tcW w:w="89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120</w:t>
            </w:r>
          </w:p>
        </w:tc>
        <w:tc>
          <w:tcPr>
            <w:tcW w:w="1202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33829.13</w:t>
            </w:r>
          </w:p>
        </w:tc>
        <w:tc>
          <w:tcPr>
            <w:tcW w:w="993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23.5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722277.41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19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440" w:type="dxa"/>
            <w:gridSpan w:val="13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 xml:space="preserve">本期接待入境旅游人数：67人 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 w:val="24"/>
                <w:vertAlign w:val="baseline"/>
                <w:lang w:val="en-US" w:eastAsia="zh-CN"/>
              </w:rPr>
              <w:t>一到本月累计接待入境旅游人数：2385人</w:t>
            </w:r>
          </w:p>
        </w:tc>
      </w:tr>
    </w:tbl>
    <w:p>
      <w:pPr>
        <w:ind w:left="-840" w:leftChars="-400" w:right="0" w:rightChars="0" w:firstLine="0" w:firstLineChars="0"/>
        <w:jc w:val="both"/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  <w:t>单位负责人：                       填表人：  张芝榕、邢艳霞                  报表时间：2017年1</w:t>
      </w:r>
      <w:r>
        <w:rPr>
          <w:rFonts w:hint="default" w:ascii="仿宋_GB2312" w:hAnsi="仿宋_GB2312" w:eastAsia="仿宋_GB2312"/>
          <w:b w:val="0"/>
          <w:bCs w:val="0"/>
          <w:sz w:val="28"/>
          <w:lang w:val="en-US" w:eastAsia="zh-CN"/>
        </w:rPr>
        <w:t>2</w:t>
      </w:r>
      <w:r>
        <w:rPr>
          <w:rFonts w:hint="eastAsia" w:ascii="仿宋_GB2312" w:hAnsi="仿宋_GB2312" w:eastAsia="仿宋_GB2312"/>
          <w:b w:val="0"/>
          <w:bCs w:val="0"/>
          <w:sz w:val="28"/>
          <w:lang w:val="en-US" w:eastAsia="zh-CN"/>
        </w:rPr>
        <w:t>月27日</w:t>
      </w:r>
    </w:p>
    <w:p/>
    <w:sectPr>
      <w:pgSz w:w="16838" w:h="11906" w:orient="landscape"/>
      <w:pgMar w:top="1066" w:right="1134" w:bottom="89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52858"/>
    <w:rsid w:val="11E53183"/>
    <w:rsid w:val="12795BF5"/>
    <w:rsid w:val="25A52858"/>
    <w:rsid w:val="4DAE39CA"/>
    <w:rsid w:val="51436F3C"/>
    <w:rsid w:val="5281654D"/>
    <w:rsid w:val="7A580E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2017-11-27T07:31:00Z</dcterms:created>
  <dc:creator>wd</dc:creator>
  <cp:lastModifiedBy>五台山官网 小高</cp:lastModifiedBy>
  <cp:lastPrinted>2017-12-30T01:43:00Z</cp:lastPrinted>
  <dcterms:modified xsi:type="dcterms:W3CDTF">2018-02-11T12:36:29Z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