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台管办发〔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118号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五台山风景名胜区管理委员会综合办公室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调整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五台山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风景区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农村交通安全工作领导小组的通知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各乡﹙镇﹚人民政府、区直各局﹙室﹚及各有关单位：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加强农村道路交通安全管理，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预防道路交通事故，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全面贯彻落实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《五台山风景区关于加强道路交通安全工作的实施意见》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研究决定，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风景区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农村交通安全工作领导小组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。具体组成人员如下：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64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军（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五台山党工委委员、管委会副主任、公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320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</w:t>
      </w:r>
      <w:r>
        <w:rPr>
          <w:rFonts w:hint="eastAsia" w:ascii="仿宋_GB2312" w:hAnsi="仿宋_GB2312" w:eastAsia="仿宋_GB2312" w:cs="仿宋_GB2312"/>
          <w:sz w:val="32"/>
          <w:szCs w:val="32"/>
        </w:rPr>
        <w:t>分局局长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64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副组长：张耀明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五台山党工委副书记、管委会副主任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320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综合行政执法局局长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赵永强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五台山党工委副书记、管委会副主任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320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宗教事务局局长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赵如战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五台山党工委委员、管委会副主任、旅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320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游发展局局长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韩秀峰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五台山党工委委员、管委会副主任、社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320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会农村工作局局长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刘明国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五台山党工委委员、管委会副主任、规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320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划国土建设局局长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赵全洲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五台山管委会副调研员、市场监督管理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320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局局长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孟宪平  综合办公室主任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刘文伟  财政局局长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李建军  台怀镇镇长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申建鹏  金岗库乡乡长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卫湘云  石咀乡乡长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李俊伟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大队大队长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  东  市场监督管理局副局长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刘哲文  社会农村工作局副局长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王海晋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新闻宣传中心主任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安卫东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公安</w:t>
      </w:r>
      <w:r>
        <w:rPr>
          <w:rFonts w:hint="eastAsia" w:ascii="仿宋_GB2312" w:hAnsi="仿宋_GB2312" w:eastAsia="仿宋_GB2312" w:cs="仿宋_GB2312"/>
          <w:sz w:val="32"/>
          <w:szCs w:val="32"/>
        </w:rPr>
        <w:t>分局治安管理大队大队长</w:t>
      </w:r>
    </w:p>
    <w:p>
      <w:pPr>
        <w:widowControl w:val="0"/>
        <w:tabs>
          <w:tab w:val="left" w:pos="1701"/>
        </w:tabs>
        <w:wordWrap/>
        <w:adjustRightInd/>
        <w:snapToGrid/>
        <w:spacing w:before="0" w:after="0"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领导小组办公室设在五台山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大队，办公室主任由李俊伟兼任。</w:t>
      </w:r>
    </w:p>
    <w:p>
      <w:pPr>
        <w:widowControl w:val="0"/>
        <w:tabs>
          <w:tab w:val="left" w:pos="1701"/>
        </w:tabs>
        <w:wordWrap/>
        <w:adjustRightInd/>
        <w:snapToGrid/>
        <w:spacing w:before="0" w:after="0"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特此通知</w:t>
      </w:r>
    </w:p>
    <w:p>
      <w:pPr>
        <w:widowControl w:val="0"/>
        <w:tabs>
          <w:tab w:val="left" w:pos="1701"/>
        </w:tabs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五台山风景名胜区管理委员会综合办公室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1025" o:spid="_x0000_s1028" style="position:absolute;left:0;margin-left:1.2pt;margin-top:6.35pt;height:0.05pt;width:440.45pt;rotation:0f;z-index:251658240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cs="黑体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五台山风景名胜区管理委员会综合办公室    2018年12月13日印发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42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1026" o:spid="_x0000_s1029" style="position:absolute;left:0;margin-left:0.85pt;margin-top:4.2pt;height:0.05pt;width:440.45pt;rotation:0f;z-index:251659264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共印5份</w:t>
      </w:r>
    </w:p>
    <w:sectPr>
      <w:footerReference r:id="rId4" w:type="default"/>
      <w:pgSz w:w="11906" w:h="16838"/>
      <w:pgMar w:top="2098" w:right="1531" w:bottom="1134" w:left="1531" w:header="851" w:footer="992" w:gutter="0"/>
      <w:paperSrc w:first="0" w:other="0"/>
      <w:pgNumType w:fmt="numberInDash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Calibri">
    <w:panose1 w:val="020F0502020204030204"/>
    <w:charset w:val="01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繁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Eras Light ITC">
    <w:altName w:val="Segoe Print"/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大黑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楷体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1"/>
    <w:family w:val="auto"/>
    <w:pitch w:val="default"/>
    <w:sig w:usb0="A00002EF" w:usb1="420020EB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夹发砰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CaoShu35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elvetica">
    <w:altName w:val="Microsoft Sans Serif"/>
    <w:panose1 w:val="020B0604020202020204"/>
    <w:charset w:val="00"/>
    <w:family w:val="auto"/>
    <w:pitch w:val="default"/>
    <w:sig w:usb0="20007A87" w:usb1="80000000" w:usb2="00000008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Tw Cen MT">
    <w:altName w:val="Segoe Print"/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JhengHei UI">
    <w:altName w:val="Microsoft JhengHei"/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entury">
    <w:altName w:val="GulimChe"/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Yu Gothic UI">
    <w:altName w:val="Meiryo UI"/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ong">
    <w:altName w:val="宋体"/>
    <w:panose1 w:val="00020005000000000000"/>
    <w:charset w:val="86"/>
    <w:family w:val="auto"/>
    <w:pitch w:val="default"/>
    <w:sig w:usb0="00000000" w:usb1="00000000" w:usb2="0E040001" w:usb3="00000000" w:csb0="00040000" w:csb1="00000000"/>
  </w:font>
  <w:font w:name="宋体e眠副浡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宋_x0010_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行黑简体">
    <w:altName w:val="黑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魏碑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SFUIText-Semibol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PingFangSC-Medium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SFUIText-Heavy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FNewChuanU-B5">
    <w:altName w:val="DFKai-SB"/>
    <w:panose1 w:val="030F0509000000000000"/>
    <w:charset w:val="88"/>
    <w:family w:val="auto"/>
    <w:pitch w:val="default"/>
    <w:sig w:usb0="00000000" w:usb1="00000000" w:usb2="00000016" w:usb3="00000000" w:csb0="0010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粗圆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长城行书体繁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行楷体">
    <w:altName w:val="楷体_GB2312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长宋体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黑体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黑宋体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DFGothic-E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POP1-W9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syuTenkoin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HakusyuInsoutai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ymath">
    <w:altName w:val="Segoe Print"/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ymeteo">
    <w:altName w:val="Segoe Print"/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ymusic">
    <w:altName w:val="Segoe Print"/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Technic">
    <w:altName w:val="微软雅黑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TechnicBold">
    <w:altName w:val="微软雅黑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瑩篆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金石篆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HanWangKanTan">
    <w:altName w:val="PMingLiU-ExtB"/>
    <w:panose1 w:val="02020500000000000000"/>
    <w:charset w:val="88"/>
    <w:family w:val="auto"/>
    <w:pitch w:val="default"/>
    <w:sig w:usb0="00000000" w:usb1="00000000" w:usb2="00000016" w:usb3="00000000" w:csb0="001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行書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秀英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秀英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清韵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水波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欧行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柏青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柏青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智楷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娃娃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叶根友行书(繁)08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闂佸吋浜介崕鎶芥偟閿燂拷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康海报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叶根友特隶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空心简体终极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空心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圆兰黑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王漢宗英可愛動物">
    <w:altName w:val="MingLiU-ExtB"/>
    <w:panose1 w:val="03000500000000000000"/>
    <w:charset w:val="88"/>
    <w:family w:val="auto"/>
    <w:pitch w:val="default"/>
    <w:sig w:usb0="00000000" w:usb1="00000000" w:usb2="00000016" w:usb3="00000000" w:csb0="00100000" w:csb1="00000000"/>
  </w:font>
  <w:font w:name="汉仪雪峰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雪君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行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霹靂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Agency FB">
    <w:altName w:val="Malgun Gothic"/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skerville Old Face">
    <w:altName w:val="Segoe Print"/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方正康体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签名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行书繁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ＰＯＰ－４">
    <w:altName w:val="PMingLiU-ExtB"/>
    <w:panose1 w:val="020B0609010101010101"/>
    <w:charset w:val="88"/>
    <w:family w:val="auto"/>
    <w:pitch w:val="default"/>
    <w:sig w:usb0="00001F41" w:usb1="28091800" w:usb2="00000000" w:usb3="00000000" w:csb0="00100000" w:csb1="00000000"/>
  </w:font>
  <w:font w:name="方正中倩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altName w:val="宋体"/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大黑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5" o:spid="_x0000_s1025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3" o:spid="_x0000_s1026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paragraph" w:styleId="3">
    <w:name w:val="Body Text"/>
    <w:basedOn w:val="1"/>
    <w:uiPriority w:val="0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Indent 3"/>
    <w:basedOn w:val="1"/>
    <w:uiPriority w:val="0"/>
    <w:pPr>
      <w:widowControl/>
      <w:snapToGrid w:val="0"/>
      <w:spacing w:line="500" w:lineRule="atLeast"/>
      <w:ind w:firstLine="360"/>
      <w:textAlignment w:val="baseline"/>
    </w:pPr>
    <w:rPr>
      <w:rFonts w:ascii="仿宋_GB2312" w:eastAsia="仿宋_GB2312"/>
      <w:color w:val="000000"/>
      <w:kern w:val="0"/>
      <w:sz w:val="30"/>
      <w:szCs w:val="30"/>
      <w:u w:val="none" w:color="FFFFFF"/>
      <w:shd w:val="pct10" w:color="auto" w:fill="FFFFFF"/>
    </w:rPr>
  </w:style>
  <w:style w:type="paragraph" w:styleId="7">
    <w:name w:val="Body Text 2"/>
    <w:basedOn w:val="1"/>
    <w:uiPriority w:val="0"/>
    <w:pPr>
      <w:spacing w:after="120" w:line="480" w:lineRule="auto"/>
    </w:pPr>
  </w:style>
  <w:style w:type="paragraph" w:styleId="8">
    <w:name w:val="HTML Preformatted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ascii="Arial" w:hAnsi="Arial" w:eastAsia="宋体" w:cs="Arial"/>
      <w:kern w:val="0"/>
      <w:sz w:val="24"/>
      <w:szCs w:val="24"/>
      <w:lang w:val="en-US" w:eastAsia="zh-CN" w:bidi="ar-SA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uiPriority w:val="0"/>
    <w:rPr/>
  </w:style>
  <w:style w:type="character" w:styleId="13">
    <w:name w:val="Hyperlink"/>
    <w:basedOn w:val="10"/>
    <w:uiPriority w:val="0"/>
    <w:rPr>
      <w:color w:val="0000FF"/>
      <w:u w:val="single"/>
    </w:rPr>
  </w:style>
  <w:style w:type="paragraph" w:customStyle="1" w:styleId="14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5">
    <w:name w:val="WPS Plain"/>
    <w:qFormat/>
    <w:uiPriority w:val="0"/>
    <w:rPr>
      <w:rFonts w:ascii="Calibri" w:hAnsi="Calibri" w:eastAsia="宋体" w:cs="黑体"/>
      <w:sz w:val="21"/>
      <w:szCs w:val="22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lenovo33</cp:lastModifiedBy>
  <cp:lastPrinted>2018-12-13T02:05:19Z</cp:lastPrinted>
  <dcterms:modified xsi:type="dcterms:W3CDTF">2018-12-13T02:06:41Z</dcterms:modified>
  <dc:title>台管办发〔2016〕1号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