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8"/>
          <w:lang w:val="en-US" w:eastAsia="zh-CN"/>
        </w:rPr>
      </w:pPr>
      <w:bookmarkStart w:id="0" w:name="_GoBack"/>
      <w:bookmarkEnd w:id="0"/>
      <w:r>
        <w:rPr>
          <w:rFonts w:hint="eastAsia" w:ascii="宋体" w:hAnsi="宋体" w:eastAsia="宋体" w:cs="宋体"/>
          <w:b/>
          <w:bCs/>
          <w:sz w:val="40"/>
          <w:szCs w:val="48"/>
          <w:lang w:val="en-US" w:eastAsia="zh-CN"/>
        </w:rPr>
        <w:t>五台山疫情防控领导小组工作组组成及其职责</w:t>
      </w:r>
    </w:p>
    <w:tbl>
      <w:tblPr>
        <w:tblStyle w:val="2"/>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76"/>
        <w:gridCol w:w="2789"/>
        <w:gridCol w:w="234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工作组</w:t>
            </w:r>
          </w:p>
        </w:tc>
        <w:tc>
          <w:tcPr>
            <w:tcW w:w="3965"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牵头和组成部门</w:t>
            </w:r>
          </w:p>
        </w:tc>
        <w:tc>
          <w:tcPr>
            <w:tcW w:w="234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共同职责</w:t>
            </w:r>
          </w:p>
        </w:tc>
        <w:tc>
          <w:tcPr>
            <w:tcW w:w="70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分组主要职责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综合应对组</w:t>
            </w: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综合办公室</w:t>
            </w:r>
          </w:p>
        </w:tc>
        <w:tc>
          <w:tcPr>
            <w:tcW w:w="2340"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贯彻落实五台山党工委、管委会决策部署，分解细化工作任务，部署、抓实本行业（系统）重大新型冠状病毒感染的肺炎疫情应急处置相关工作；与相对的省级部门对接支援事宜。</w:t>
            </w:r>
          </w:p>
        </w:tc>
        <w:tc>
          <w:tcPr>
            <w:tcW w:w="7023"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督导强化重点领域的新型冠状病毒感染的肺炎疫情应急监测；开展信息互通、技术互援、商会共识，协同施策，防范化解重大公共卫生风险；组织实施部门综合研判，向指挥部及办公室提出预警、响应、发布的相关意见、建议和策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0" w:type="dxa"/>
            <w:vMerge w:val="continue"/>
            <w:vAlign w:val="center"/>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组成部门</w:t>
            </w:r>
          </w:p>
        </w:tc>
        <w:tc>
          <w:tcPr>
            <w:tcW w:w="2789"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各乡镇、社会农村工作局</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旅游发展局、统战宗教局</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市场监管局、纪检监察组</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游客中心。</w:t>
            </w:r>
          </w:p>
        </w:tc>
        <w:tc>
          <w:tcPr>
            <w:tcW w:w="2340" w:type="dxa"/>
            <w:vMerge w:val="continue"/>
            <w:vAlign w:val="center"/>
          </w:tcPr>
          <w:p>
            <w:pPr>
              <w:jc w:val="center"/>
              <w:rPr>
                <w:rFonts w:hint="eastAsia" w:ascii="仿宋" w:hAnsi="仿宋" w:eastAsia="仿宋" w:cs="仿宋"/>
                <w:sz w:val="24"/>
                <w:szCs w:val="24"/>
                <w:lang w:val="en-US" w:eastAsia="zh-CN"/>
              </w:rPr>
            </w:pPr>
          </w:p>
        </w:tc>
        <w:tc>
          <w:tcPr>
            <w:tcW w:w="7023" w:type="dxa"/>
            <w:vMerge w:val="continue"/>
            <w:vAlign w:val="center"/>
          </w:tcPr>
          <w:p>
            <w:pPr>
              <w:jc w:val="both"/>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医疗救治和疾病防控组</w:t>
            </w: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社会农村工作局</w:t>
            </w:r>
          </w:p>
        </w:tc>
        <w:tc>
          <w:tcPr>
            <w:tcW w:w="2340" w:type="dxa"/>
            <w:vMerge w:val="continue"/>
            <w:vAlign w:val="center"/>
          </w:tcPr>
          <w:p>
            <w:pPr>
              <w:jc w:val="center"/>
              <w:rPr>
                <w:rFonts w:hint="eastAsia" w:ascii="仿宋" w:hAnsi="仿宋" w:eastAsia="仿宋" w:cs="仿宋"/>
                <w:sz w:val="24"/>
                <w:szCs w:val="24"/>
                <w:lang w:val="en-US" w:eastAsia="zh-CN"/>
              </w:rPr>
            </w:pPr>
          </w:p>
        </w:tc>
        <w:tc>
          <w:tcPr>
            <w:tcW w:w="7023"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组织实施新型冠状病毒感染的肺炎疫情相关诊疗和防控技术方案；组织落实各项医疗救治和疾病防控措施，对措施落实情况进行督导检查；组织开展溯源和病原（媒介、调查排查，实施防治效果动态评价，并向管委会提出强化或调整有关措施的意见、建议；组织和指导参与处置人员实施个人防护；组织实施医疗救治和疾病防控应急培训；协调，解决医疗救治和疾病防控工作的困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atLeast"/>
        </w:trPr>
        <w:tc>
          <w:tcPr>
            <w:tcW w:w="850" w:type="dxa"/>
            <w:vMerge w:val="continue"/>
            <w:vAlign w:val="center"/>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组成部门</w:t>
            </w:r>
          </w:p>
        </w:tc>
        <w:tc>
          <w:tcPr>
            <w:tcW w:w="2789"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卫生健康服务中心、疾病预防控制中心、台怀镇中心卫生院、金岗库乡卫生院、石咀乡卫生院、教育管理中心、各乡镇、组织人社局、民政服务中心、旅游发展局、公安分局。</w:t>
            </w:r>
          </w:p>
        </w:tc>
        <w:tc>
          <w:tcPr>
            <w:tcW w:w="2340" w:type="dxa"/>
            <w:vMerge w:val="continue"/>
            <w:vAlign w:val="center"/>
          </w:tcPr>
          <w:p>
            <w:pPr>
              <w:jc w:val="center"/>
              <w:rPr>
                <w:rFonts w:hint="eastAsia" w:ascii="仿宋" w:hAnsi="仿宋" w:eastAsia="仿宋" w:cs="仿宋"/>
                <w:lang w:val="en-US" w:eastAsia="zh-CN"/>
              </w:rPr>
            </w:pPr>
          </w:p>
        </w:tc>
        <w:tc>
          <w:tcPr>
            <w:tcW w:w="7023" w:type="dxa"/>
            <w:vMerge w:val="continue"/>
            <w:vAlign w:val="center"/>
          </w:tcPr>
          <w:p>
            <w:pPr>
              <w:jc w:val="center"/>
              <w:rPr>
                <w:rFonts w:hint="eastAsia" w:ascii="仿宋" w:hAnsi="仿宋" w:eastAsia="仿宋" w:cs="仿宋"/>
                <w:lang w:val="en-US" w:eastAsia="zh-CN"/>
              </w:rPr>
            </w:pPr>
          </w:p>
        </w:tc>
      </w:tr>
    </w:tbl>
    <w:p/>
    <w:tbl>
      <w:tblPr>
        <w:tblStyle w:val="2"/>
        <w:tblpPr w:leftFromText="180" w:rightFromText="180" w:vertAnchor="text" w:horzAnchor="page" w:tblpX="1431" w:tblpY="613"/>
        <w:tblOverlap w:val="never"/>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76"/>
        <w:gridCol w:w="2789"/>
        <w:gridCol w:w="234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工作组</w:t>
            </w:r>
          </w:p>
        </w:tc>
        <w:tc>
          <w:tcPr>
            <w:tcW w:w="3965"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牵头和组成部门</w:t>
            </w:r>
          </w:p>
        </w:tc>
        <w:tc>
          <w:tcPr>
            <w:tcW w:w="234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共同职责</w:t>
            </w:r>
          </w:p>
        </w:tc>
        <w:tc>
          <w:tcPr>
            <w:tcW w:w="70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分组主要职责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交通场站应对组</w:t>
            </w: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旅游发展局</w:t>
            </w:r>
          </w:p>
        </w:tc>
        <w:tc>
          <w:tcPr>
            <w:tcW w:w="2340"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贯彻落实五台山党工委、管委会决策部署，分解细化工作任务，部署、抓实本行业（系统）重大新型冠状病毒感染的肺炎疫情应急处置相关工作；与相对的省级部门对接支援事宜。</w:t>
            </w:r>
          </w:p>
        </w:tc>
        <w:tc>
          <w:tcPr>
            <w:tcW w:w="7023"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落实重点场所公共交通工具的通风、消毒、测体温等必要措施；妥善实施场站发现相关病例、疑似病例及密切接触者的临时隔离、留验并移交转运；协助开展密切接触者追踪。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850" w:type="dxa"/>
            <w:vMerge w:val="continue"/>
            <w:vAlign w:val="center"/>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组成部门</w:t>
            </w:r>
          </w:p>
        </w:tc>
        <w:tc>
          <w:tcPr>
            <w:tcW w:w="2789"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交通服务中心、卫生健康服务中心、晋旅公司、统战宗教局、公安分局（出入境管理）综合行政执法局、游客中心。</w:t>
            </w:r>
          </w:p>
        </w:tc>
        <w:tc>
          <w:tcPr>
            <w:tcW w:w="2340" w:type="dxa"/>
            <w:vMerge w:val="continue"/>
            <w:vAlign w:val="center"/>
          </w:tcPr>
          <w:p>
            <w:pPr>
              <w:jc w:val="center"/>
              <w:rPr>
                <w:rFonts w:hint="eastAsia" w:ascii="仿宋" w:hAnsi="仿宋" w:eastAsia="仿宋" w:cs="仿宋"/>
                <w:sz w:val="24"/>
                <w:szCs w:val="24"/>
                <w:lang w:val="en-US" w:eastAsia="zh-CN"/>
              </w:rPr>
            </w:pPr>
          </w:p>
        </w:tc>
        <w:tc>
          <w:tcPr>
            <w:tcW w:w="7023" w:type="dxa"/>
            <w:vMerge w:val="continue"/>
            <w:vAlign w:val="center"/>
          </w:tcPr>
          <w:p>
            <w:pPr>
              <w:jc w:val="both"/>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农贸市场及流通监管组</w:t>
            </w:r>
          </w:p>
        </w:tc>
        <w:tc>
          <w:tcPr>
            <w:tcW w:w="11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市场监督管理局</w:t>
            </w:r>
          </w:p>
        </w:tc>
        <w:tc>
          <w:tcPr>
            <w:tcW w:w="2340" w:type="dxa"/>
            <w:vMerge w:val="continue"/>
            <w:vAlign w:val="center"/>
          </w:tcPr>
          <w:p>
            <w:pPr>
              <w:jc w:val="center"/>
              <w:rPr>
                <w:rFonts w:hint="eastAsia" w:ascii="仿宋" w:hAnsi="仿宋" w:eastAsia="仿宋" w:cs="仿宋"/>
                <w:kern w:val="2"/>
                <w:sz w:val="24"/>
                <w:szCs w:val="24"/>
                <w:lang w:val="en-US" w:eastAsia="zh-CN" w:bidi="ar-SA"/>
              </w:rPr>
            </w:pPr>
          </w:p>
        </w:tc>
        <w:tc>
          <w:tcPr>
            <w:tcW w:w="7023"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按照“早部署、早动员、早落实、早见效”的原则，重点落实好集贸市场管理，强化环境卫生清洁整治；严厉打击贩卖野生动物的行为。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50" w:type="dxa"/>
            <w:vMerge w:val="continue"/>
            <w:vAlign w:val="top"/>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组成部门</w:t>
            </w:r>
          </w:p>
        </w:tc>
        <w:tc>
          <w:tcPr>
            <w:tcW w:w="2789" w:type="dxa"/>
            <w:vAlign w:val="center"/>
          </w:tcPr>
          <w:p>
            <w:pPr>
              <w:rPr>
                <w:rFonts w:hint="default" w:ascii="仿宋" w:hAnsi="仿宋" w:eastAsia="仿宋" w:cs="仿宋"/>
                <w:color w:val="000000"/>
                <w:sz w:val="24"/>
                <w:szCs w:val="24"/>
                <w:lang w:val="en-US" w:eastAsia="zh-CN"/>
              </w:rPr>
            </w:pPr>
            <w:r>
              <w:rPr>
                <w:rFonts w:hint="eastAsia" w:ascii="仿宋" w:hAnsi="仿宋" w:eastAsia="仿宋" w:cs="仿宋"/>
                <w:sz w:val="24"/>
                <w:szCs w:val="24"/>
                <w:lang w:val="en-US" w:eastAsia="zh-CN"/>
              </w:rPr>
              <w:t>农业综合服务中心、市政中心、综合行政执法局、规划国土建设局、</w:t>
            </w:r>
            <w:r>
              <w:rPr>
                <w:rFonts w:hint="eastAsia" w:ascii="仿宋" w:hAnsi="仿宋" w:eastAsia="仿宋" w:cs="仿宋"/>
                <w:color w:val="000000"/>
                <w:sz w:val="24"/>
                <w:szCs w:val="24"/>
                <w:lang w:val="en-US" w:eastAsia="zh-CN"/>
              </w:rPr>
              <w:t>动物疾病监督检查站。</w:t>
            </w:r>
          </w:p>
          <w:p>
            <w:pPr>
              <w:jc w:val="both"/>
              <w:rPr>
                <w:rFonts w:hint="eastAsia" w:ascii="仿宋" w:hAnsi="仿宋" w:eastAsia="仿宋" w:cs="仿宋"/>
                <w:kern w:val="2"/>
                <w:sz w:val="24"/>
                <w:szCs w:val="24"/>
                <w:lang w:val="en-US" w:eastAsia="zh-CN" w:bidi="ar-SA"/>
              </w:rPr>
            </w:pPr>
          </w:p>
        </w:tc>
        <w:tc>
          <w:tcPr>
            <w:tcW w:w="2340" w:type="dxa"/>
            <w:vMerge w:val="continue"/>
            <w:vAlign w:val="center"/>
          </w:tcPr>
          <w:p>
            <w:pPr>
              <w:jc w:val="center"/>
              <w:rPr>
                <w:rFonts w:hint="eastAsia" w:ascii="仿宋" w:hAnsi="仿宋" w:eastAsia="仿宋" w:cs="仿宋"/>
                <w:kern w:val="2"/>
                <w:sz w:val="24"/>
                <w:szCs w:val="24"/>
                <w:lang w:val="en-US" w:eastAsia="zh-CN" w:bidi="ar-SA"/>
              </w:rPr>
            </w:pPr>
          </w:p>
        </w:tc>
        <w:tc>
          <w:tcPr>
            <w:tcW w:w="7023" w:type="dxa"/>
            <w:vMerge w:val="continue"/>
            <w:vAlign w:val="top"/>
          </w:tcPr>
          <w:p>
            <w:pPr>
              <w:jc w:val="center"/>
              <w:rPr>
                <w:rFonts w:hint="eastAsia" w:ascii="仿宋" w:hAnsi="仿宋" w:eastAsia="仿宋" w:cs="仿宋"/>
                <w:sz w:val="24"/>
                <w:szCs w:val="24"/>
                <w:lang w:val="en-US" w:eastAsia="zh-CN"/>
              </w:rPr>
            </w:pPr>
          </w:p>
        </w:tc>
      </w:tr>
    </w:tbl>
    <w:p>
      <w:pPr>
        <w:rPr>
          <w:rFonts w:hint="default"/>
          <w:lang w:val="en-US" w:eastAsia="zh-CN"/>
        </w:rPr>
      </w:pPr>
    </w:p>
    <w:p>
      <w:pPr>
        <w:rPr>
          <w:rFonts w:hint="default" w:ascii="Calibri" w:hAnsi="Calibri" w:eastAsia="宋体" w:cs="黑体"/>
          <w:kern w:val="2"/>
          <w:sz w:val="21"/>
          <w:szCs w:val="24"/>
          <w:lang w:val="en-US" w:eastAsia="zh-CN" w:bidi="ar-SA"/>
        </w:rPr>
      </w:pPr>
    </w:p>
    <w:p>
      <w:pPr>
        <w:jc w:val="left"/>
        <w:rPr>
          <w:rFonts w:hint="default"/>
          <w:lang w:val="en-US" w:eastAsia="zh-CN"/>
        </w:rPr>
      </w:pPr>
    </w:p>
    <w:tbl>
      <w:tblPr>
        <w:tblStyle w:val="2"/>
        <w:tblpPr w:leftFromText="180" w:rightFromText="180" w:vertAnchor="text" w:horzAnchor="page" w:tblpX="1431" w:tblpY="613"/>
        <w:tblOverlap w:val="never"/>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76"/>
        <w:gridCol w:w="2789"/>
        <w:gridCol w:w="234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工作组</w:t>
            </w:r>
          </w:p>
        </w:tc>
        <w:tc>
          <w:tcPr>
            <w:tcW w:w="3965"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牵头和组成部门</w:t>
            </w:r>
          </w:p>
        </w:tc>
        <w:tc>
          <w:tcPr>
            <w:tcW w:w="234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共同职责</w:t>
            </w:r>
          </w:p>
        </w:tc>
        <w:tc>
          <w:tcPr>
            <w:tcW w:w="70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分组主要职责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医疗和物资保障组</w:t>
            </w: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旅游发展局、财政局</w:t>
            </w:r>
          </w:p>
        </w:tc>
        <w:tc>
          <w:tcPr>
            <w:tcW w:w="2340"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贯彻落实五台山党工委、管委会决策部署，分解细化工作任务，部署、抓实本行业（系统）重大新型冠状病毒感染的肺炎疫情应急处置相关工作；与相对的省级部门对接支援事宜。</w:t>
            </w:r>
          </w:p>
        </w:tc>
        <w:tc>
          <w:tcPr>
            <w:tcW w:w="7023"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统筹和协调新型冠状病毒感染的肺炎疫情处置医药、物资的供需、生产、储备、调拨、运输等事宜；提出必须医药、物资的应急储备需求及采购计划；协调安排新型冠状病毒感染的肺炎疫情处置资金及相关预算；督促和检查各项保障措施落实情况；监测和保障生活必需品等市场动态及供给，维护市场秩序；负责保障工作信息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850" w:type="dxa"/>
            <w:vMerge w:val="continue"/>
            <w:vAlign w:val="center"/>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组成部门</w:t>
            </w:r>
          </w:p>
        </w:tc>
        <w:tc>
          <w:tcPr>
            <w:tcW w:w="2789"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医保服务中心、民政服务中心、交通服务中心、卫生健康服务中心、武警忻州支队五台山大队、市场监督局、综合行政执法局。</w:t>
            </w:r>
          </w:p>
        </w:tc>
        <w:tc>
          <w:tcPr>
            <w:tcW w:w="2340" w:type="dxa"/>
            <w:vMerge w:val="continue"/>
            <w:vAlign w:val="center"/>
          </w:tcPr>
          <w:p>
            <w:pPr>
              <w:jc w:val="center"/>
              <w:rPr>
                <w:rFonts w:hint="eastAsia" w:ascii="仿宋" w:hAnsi="仿宋" w:eastAsia="仿宋" w:cs="仿宋"/>
                <w:sz w:val="24"/>
                <w:szCs w:val="24"/>
                <w:lang w:val="en-US" w:eastAsia="zh-CN"/>
              </w:rPr>
            </w:pPr>
          </w:p>
        </w:tc>
        <w:tc>
          <w:tcPr>
            <w:tcW w:w="7023" w:type="dxa"/>
            <w:vMerge w:val="continue"/>
            <w:vAlign w:val="center"/>
          </w:tcPr>
          <w:p>
            <w:pPr>
              <w:jc w:val="both"/>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宣传和舆论引导组</w:t>
            </w:r>
          </w:p>
        </w:tc>
        <w:tc>
          <w:tcPr>
            <w:tcW w:w="11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综合办</w:t>
            </w:r>
          </w:p>
        </w:tc>
        <w:tc>
          <w:tcPr>
            <w:tcW w:w="2340" w:type="dxa"/>
            <w:vMerge w:val="continue"/>
            <w:vAlign w:val="center"/>
          </w:tcPr>
          <w:p>
            <w:pPr>
              <w:jc w:val="center"/>
              <w:rPr>
                <w:rFonts w:hint="eastAsia" w:ascii="仿宋" w:hAnsi="仿宋" w:eastAsia="仿宋" w:cs="仿宋"/>
                <w:kern w:val="2"/>
                <w:sz w:val="24"/>
                <w:szCs w:val="24"/>
                <w:lang w:val="en-US" w:eastAsia="zh-CN" w:bidi="ar-SA"/>
              </w:rPr>
            </w:pPr>
          </w:p>
        </w:tc>
        <w:tc>
          <w:tcPr>
            <w:tcW w:w="7023" w:type="dxa"/>
            <w:vMerge w:val="restart"/>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组织、督导新型冠状病毒感染的肺炎疫情信息发布，宣传报道和舆论引导工作；跟踪境内外舆情，开展舆情检测，及时管控和处置谣言，澄清相关事实；协助相关部门宣传新型冠状病毒感染的肺炎疫情相关防控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50" w:type="dxa"/>
            <w:vMerge w:val="continue"/>
            <w:vAlign w:val="top"/>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组成部门</w:t>
            </w:r>
          </w:p>
        </w:tc>
        <w:tc>
          <w:tcPr>
            <w:tcW w:w="2789"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新闻宣传中心、教育管理中心、公安分局、市场监督管理局、旅游发展局、卫生健康服务中心，农业综合服务中心。</w:t>
            </w:r>
          </w:p>
        </w:tc>
        <w:tc>
          <w:tcPr>
            <w:tcW w:w="2340" w:type="dxa"/>
            <w:vMerge w:val="continue"/>
            <w:vAlign w:val="center"/>
          </w:tcPr>
          <w:p>
            <w:pPr>
              <w:jc w:val="center"/>
              <w:rPr>
                <w:rFonts w:hint="eastAsia" w:ascii="仿宋" w:hAnsi="仿宋" w:eastAsia="仿宋" w:cs="仿宋"/>
                <w:kern w:val="2"/>
                <w:sz w:val="24"/>
                <w:szCs w:val="24"/>
                <w:lang w:val="en-US" w:eastAsia="zh-CN" w:bidi="ar-SA"/>
              </w:rPr>
            </w:pPr>
          </w:p>
        </w:tc>
        <w:tc>
          <w:tcPr>
            <w:tcW w:w="7023" w:type="dxa"/>
            <w:vMerge w:val="continue"/>
            <w:vAlign w:val="top"/>
          </w:tcPr>
          <w:p>
            <w:pPr>
              <w:jc w:val="center"/>
              <w:rPr>
                <w:rFonts w:hint="eastAsia" w:ascii="仿宋" w:hAnsi="仿宋" w:eastAsia="仿宋" w:cs="仿宋"/>
                <w:sz w:val="24"/>
                <w:szCs w:val="24"/>
                <w:lang w:val="en-US" w:eastAsia="zh-CN"/>
              </w:rPr>
            </w:pPr>
          </w:p>
        </w:tc>
      </w:tr>
    </w:tbl>
    <w:p>
      <w:pPr>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default"/>
          <w:lang w:val="en-US" w:eastAsia="zh-CN"/>
        </w:rPr>
      </w:pPr>
    </w:p>
    <w:tbl>
      <w:tblPr>
        <w:tblStyle w:val="2"/>
        <w:tblpPr w:leftFromText="180" w:rightFromText="180" w:vertAnchor="text" w:horzAnchor="page" w:tblpX="1431" w:tblpY="613"/>
        <w:tblOverlap w:val="never"/>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76"/>
        <w:gridCol w:w="2789"/>
        <w:gridCol w:w="234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工作组</w:t>
            </w:r>
          </w:p>
        </w:tc>
        <w:tc>
          <w:tcPr>
            <w:tcW w:w="3965"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牵头和组成部门</w:t>
            </w:r>
          </w:p>
        </w:tc>
        <w:tc>
          <w:tcPr>
            <w:tcW w:w="234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共同职责</w:t>
            </w:r>
          </w:p>
        </w:tc>
        <w:tc>
          <w:tcPr>
            <w:tcW w:w="702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分组主要职责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港澳台和对外协调组</w:t>
            </w: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公安分局</w:t>
            </w:r>
          </w:p>
        </w:tc>
        <w:tc>
          <w:tcPr>
            <w:tcW w:w="2340"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贯彻落实五台山党工委、管委会决策部署，分解细化工作任务，部署、抓实本行业（系统）重大新型冠状病毒感染的肺炎疫情应急处置相关工作；与相对的省级部门对接支援事宜。</w:t>
            </w:r>
          </w:p>
        </w:tc>
        <w:tc>
          <w:tcPr>
            <w:tcW w:w="7023" w:type="dxa"/>
            <w:vMerge w:val="restart"/>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负责协调处理新型冠状病毒感染的肺炎疫情涉外及涉港澳台地区事务；负责收集境外疫情及防控相关信息，并通报有关部门，指导好防疫工作；负责景区内外国公民和港澳台人员救治的联络协调工作。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850" w:type="dxa"/>
            <w:vMerge w:val="continue"/>
            <w:vAlign w:val="center"/>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组成部门</w:t>
            </w:r>
          </w:p>
        </w:tc>
        <w:tc>
          <w:tcPr>
            <w:tcW w:w="2789"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教育管理中心、综合信息中心、新闻宣传中心、卫生健康服务中心、交通服务中心、游客中心等。</w:t>
            </w:r>
          </w:p>
        </w:tc>
        <w:tc>
          <w:tcPr>
            <w:tcW w:w="2340" w:type="dxa"/>
            <w:vMerge w:val="continue"/>
            <w:vAlign w:val="center"/>
          </w:tcPr>
          <w:p>
            <w:pPr>
              <w:jc w:val="center"/>
              <w:rPr>
                <w:rFonts w:hint="eastAsia" w:ascii="仿宋" w:hAnsi="仿宋" w:eastAsia="仿宋" w:cs="仿宋"/>
                <w:sz w:val="24"/>
                <w:szCs w:val="24"/>
                <w:lang w:val="en-US" w:eastAsia="zh-CN"/>
              </w:rPr>
            </w:pPr>
          </w:p>
        </w:tc>
        <w:tc>
          <w:tcPr>
            <w:tcW w:w="7023" w:type="dxa"/>
            <w:vMerge w:val="continue"/>
            <w:vAlign w:val="center"/>
          </w:tcPr>
          <w:p>
            <w:pPr>
              <w:jc w:val="both"/>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社会治安和交通保障组</w:t>
            </w:r>
          </w:p>
        </w:tc>
        <w:tc>
          <w:tcPr>
            <w:tcW w:w="11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牵头部门</w:t>
            </w:r>
          </w:p>
        </w:tc>
        <w:tc>
          <w:tcPr>
            <w:tcW w:w="2789"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公安分局</w:t>
            </w:r>
          </w:p>
        </w:tc>
        <w:tc>
          <w:tcPr>
            <w:tcW w:w="2340" w:type="dxa"/>
            <w:vMerge w:val="continue"/>
            <w:vAlign w:val="center"/>
          </w:tcPr>
          <w:p>
            <w:pPr>
              <w:jc w:val="center"/>
              <w:rPr>
                <w:rFonts w:hint="eastAsia" w:ascii="仿宋" w:hAnsi="仿宋" w:eastAsia="仿宋" w:cs="仿宋"/>
                <w:kern w:val="2"/>
                <w:sz w:val="24"/>
                <w:szCs w:val="24"/>
                <w:lang w:val="en-US" w:eastAsia="zh-CN" w:bidi="ar-SA"/>
              </w:rPr>
            </w:pPr>
          </w:p>
        </w:tc>
        <w:tc>
          <w:tcPr>
            <w:tcW w:w="7023" w:type="dxa"/>
            <w:vMerge w:val="restart"/>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负责密切关注和及时依法处置与新型冠状病毒感染的肺炎疫情相关的社会治安事件，严厉打击相关违法犯罪行为；协助卫生健康部门对相关病例、疑似病例及密切接触者等进行追踪；做好交通疏导，保障新型冠状病毒感染的肺炎疫情应急处置相关车辆优先、快速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50" w:type="dxa"/>
            <w:vMerge w:val="continue"/>
            <w:vAlign w:val="top"/>
          </w:tcPr>
          <w:p>
            <w:pPr>
              <w:jc w:val="center"/>
              <w:rPr>
                <w:rFonts w:hint="eastAsia" w:ascii="仿宋" w:hAnsi="仿宋" w:eastAsia="仿宋" w:cs="仿宋"/>
                <w:sz w:val="24"/>
                <w:szCs w:val="24"/>
                <w:lang w:val="en-US" w:eastAsia="zh-CN"/>
              </w:rPr>
            </w:pPr>
          </w:p>
        </w:tc>
        <w:tc>
          <w:tcPr>
            <w:tcW w:w="11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组成部门</w:t>
            </w:r>
          </w:p>
        </w:tc>
        <w:tc>
          <w:tcPr>
            <w:tcW w:w="2789" w:type="dxa"/>
            <w:vAlign w:val="center"/>
          </w:tcPr>
          <w:p>
            <w:pPr>
              <w:jc w:val="both"/>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教育管理中心、交通服务中心、汽车站、武警忻州支队五台山大队、晋旅公司、综合行政执法队等。</w:t>
            </w:r>
          </w:p>
        </w:tc>
        <w:tc>
          <w:tcPr>
            <w:tcW w:w="2340" w:type="dxa"/>
            <w:vMerge w:val="continue"/>
            <w:vAlign w:val="center"/>
          </w:tcPr>
          <w:p>
            <w:pPr>
              <w:jc w:val="center"/>
              <w:rPr>
                <w:rFonts w:hint="eastAsia" w:ascii="仿宋" w:hAnsi="仿宋" w:eastAsia="仿宋" w:cs="仿宋"/>
                <w:kern w:val="2"/>
                <w:sz w:val="24"/>
                <w:szCs w:val="24"/>
                <w:lang w:val="en-US" w:eastAsia="zh-CN" w:bidi="ar-SA"/>
              </w:rPr>
            </w:pPr>
          </w:p>
        </w:tc>
        <w:tc>
          <w:tcPr>
            <w:tcW w:w="7023" w:type="dxa"/>
            <w:vMerge w:val="continue"/>
            <w:vAlign w:val="top"/>
          </w:tcPr>
          <w:p>
            <w:pPr>
              <w:jc w:val="center"/>
              <w:rPr>
                <w:rFonts w:hint="eastAsia" w:ascii="仿宋" w:hAnsi="仿宋" w:eastAsia="仿宋" w:cs="仿宋"/>
                <w:sz w:val="24"/>
                <w:szCs w:val="24"/>
                <w:lang w:val="en-US" w:eastAsia="zh-CN"/>
              </w:rPr>
            </w:pPr>
          </w:p>
        </w:tc>
      </w:tr>
    </w:tbl>
    <w:p>
      <w:pPr>
        <w:jc w:val="left"/>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8E836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2020-01-24T02:01:00Z</dcterms:created>
  <dc:creator>ww</dc:creator>
  <cp:lastModifiedBy>瞳 有 万 花</cp:lastModifiedBy>
  <cp:lastPrinted>2020-01-24T03:48:00Z</cp:lastPrinted>
  <dcterms:modified xsi:type="dcterms:W3CDTF">2020-02-27T09:14:43Z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