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cs="黑体"/>
          <w:color w:val="000000"/>
        </w:rPr>
      </w:pPr>
      <w:bookmarkStart w:id="0" w:name="YS040100"/>
    </w:p>
    <w:p>
      <w:pPr>
        <w:jc w:val="center"/>
        <w:rPr>
          <w:rFonts w:ascii="黑体" w:hAnsi="Times New Roman" w:eastAsia="黑体" w:cs="黑体"/>
          <w:color w:val="000000"/>
        </w:rPr>
      </w:pPr>
      <w:bookmarkStart w:id="1" w:name="_GoBack"/>
      <w:bookmarkEnd w:id="1"/>
    </w:p>
    <w:p>
      <w:pPr>
        <w:widowControl/>
        <w:spacing w:line="211" w:lineRule="atLeast"/>
        <w:jc w:val="center"/>
        <w:rPr>
          <w:rFonts w:hint="eastAsia" w:ascii="华文中宋" w:hAnsi="华文中宋" w:eastAsia="华文中宋" w:cs="黑体"/>
          <w:color w:val="000000"/>
          <w:sz w:val="36"/>
          <w:szCs w:val="32"/>
          <w:lang w:val="en-US" w:eastAsia="zh-CN"/>
        </w:rPr>
      </w:pPr>
      <w:r>
        <w:rPr>
          <w:rFonts w:hint="eastAsia" w:ascii="华文中宋" w:hAnsi="华文中宋" w:eastAsia="华文中宋" w:cs="黑体"/>
          <w:color w:val="000000"/>
          <w:sz w:val="36"/>
          <w:szCs w:val="32"/>
          <w:lang w:val="en-US" w:eastAsia="zh-CN"/>
        </w:rPr>
        <w:t>2020年度部门决算填报说明</w:t>
      </w:r>
    </w:p>
    <w:bookmarkEnd w:id="0"/>
    <w:p>
      <w:pPr>
        <w:widowControl/>
        <w:spacing w:line="211" w:lineRule="atLeast"/>
        <w:jc w:val="center"/>
        <w:rPr>
          <w:rFonts w:ascii="华文中宋" w:hAnsi="华文中宋" w:eastAsia="华文中宋" w:cs="宋体"/>
          <w:color w:val="000000"/>
          <w:kern w:val="0"/>
          <w:sz w:val="36"/>
          <w:szCs w:val="32"/>
        </w:rPr>
      </w:pPr>
      <w:r>
        <w:rPr>
          <w:rFonts w:hint="eastAsia" w:ascii="华文中宋" w:hAnsi="华文中宋" w:eastAsia="华文中宋" w:cs="宋体"/>
          <w:color w:val="000000"/>
          <w:kern w:val="0"/>
          <w:sz w:val="36"/>
          <w:szCs w:val="32"/>
        </w:rPr>
        <w:t>（</w:t>
      </w:r>
      <w:r>
        <w:rPr>
          <w:rFonts w:hint="eastAsia" w:ascii="华文中宋" w:hAnsi="华文中宋" w:eastAsia="华文中宋" w:cs="黑体"/>
          <w:color w:val="000000"/>
          <w:sz w:val="36"/>
          <w:szCs w:val="32"/>
          <w:lang w:val="en-US" w:eastAsia="zh-CN"/>
        </w:rPr>
        <w:t>五台山风景名胜区综合行政执法局</w:t>
      </w:r>
      <w:r>
        <w:rPr>
          <w:rFonts w:hint="eastAsia" w:ascii="华文中宋" w:hAnsi="华文中宋" w:eastAsia="华文中宋" w:cs="宋体"/>
          <w:color w:val="000000"/>
          <w:kern w:val="0"/>
          <w:sz w:val="36"/>
          <w:szCs w:val="32"/>
        </w:rPr>
        <w:t>）</w:t>
      </w:r>
    </w:p>
    <w:p>
      <w:pPr>
        <w:jc w:val="center"/>
        <w:rPr>
          <w:rFonts w:ascii="仿宋_GB2312" w:hAnsi="华文中宋" w:eastAsia="仿宋_GB2312" w:cs="黑体"/>
          <w:color w:val="000000"/>
          <w:sz w:val="32"/>
          <w:szCs w:val="32"/>
        </w:rPr>
      </w:pPr>
    </w:p>
    <w:p>
      <w:p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一、决算信息来源说明</w:t>
      </w:r>
    </w:p>
    <w:p>
      <w:pPr>
        <w:ind w:firstLine="640" w:firstLineChars="200"/>
        <w:rPr>
          <w:rFonts w:ascii="仿宋_GB2312" w:hAnsi="仿宋" w:eastAsia="仿宋_GB2312" w:cs="仿宋"/>
          <w:bCs/>
          <w:color w:val="000000"/>
          <w:sz w:val="32"/>
          <w:szCs w:val="32"/>
        </w:rPr>
      </w:pPr>
      <w:r>
        <w:rPr>
          <w:rFonts w:hint="eastAsia" w:ascii="仿宋_GB2312" w:hAnsi="仿宋" w:eastAsia="仿宋_GB2312" w:cs="仿宋"/>
          <w:bCs/>
          <w:color w:val="000000"/>
          <w:sz w:val="32"/>
          <w:szCs w:val="32"/>
        </w:rPr>
        <w:t>本套决算依据本单位登记完整、核对无误的账簿记录和其他有关会计核算资料编制，账证相符、账实相符、账表相符、表表相符，真实、准确、完整地反映了本单位预算执行结果和财务状况。</w:t>
      </w:r>
    </w:p>
    <w:p>
      <w:pPr>
        <w:ind w:firstLine="640" w:firstLineChars="200"/>
        <w:rPr>
          <w:rFonts w:ascii="仿宋_GB2312" w:hAnsi="仿宋" w:eastAsia="仿宋_GB2312" w:cs="黑体"/>
          <w:color w:val="000000"/>
          <w:sz w:val="32"/>
          <w:szCs w:val="32"/>
        </w:rPr>
      </w:pPr>
      <w:r>
        <w:rPr>
          <w:rFonts w:hint="eastAsia" w:ascii="仿宋_GB2312" w:hAnsi="仿宋" w:eastAsia="仿宋_GB2312"/>
          <w:sz w:val="32"/>
          <w:szCs w:val="32"/>
        </w:rPr>
        <w:t>（一）本套决算主表数据主要依据本单位会计账簿总账及明细账数据填列，预算数据依据本单位预、决算批复文件及预算调整文件填列。</w:t>
      </w:r>
    </w:p>
    <w:p>
      <w:pPr>
        <w:ind w:firstLine="640" w:firstLineChars="200"/>
        <w:rPr>
          <w:rFonts w:ascii="仿宋_GB2312" w:hAnsi="仿宋" w:eastAsia="仿宋_GB2312"/>
          <w:sz w:val="32"/>
          <w:szCs w:val="32"/>
        </w:rPr>
      </w:pPr>
      <w:r>
        <w:rPr>
          <w:rFonts w:hint="eastAsia" w:ascii="仿宋_GB2312" w:hAnsi="仿宋" w:eastAsia="仿宋_GB2312"/>
          <w:sz w:val="32"/>
          <w:szCs w:val="32"/>
        </w:rPr>
        <w:t>（二）本套决算附表数据主要依据本单位会计账簿、资产、人事台账及相关资料填列。</w:t>
      </w:r>
    </w:p>
    <w:p>
      <w:pPr>
        <w:ind w:firstLine="640" w:firstLineChars="200"/>
        <w:rPr>
          <w:rFonts w:ascii="黑体" w:hAnsi="黑体" w:eastAsia="黑体" w:cs="黑体"/>
          <w:sz w:val="32"/>
          <w:szCs w:val="32"/>
        </w:rPr>
      </w:pPr>
      <w:r>
        <w:rPr>
          <w:rFonts w:hint="eastAsia" w:ascii="黑体" w:hAnsi="黑体" w:eastAsia="黑体" w:cs="黑体"/>
          <w:sz w:val="32"/>
          <w:szCs w:val="32"/>
        </w:rPr>
        <w:t>二、决算编制基本情况</w:t>
      </w:r>
    </w:p>
    <w:p>
      <w:pPr>
        <w:ind w:firstLine="567"/>
        <w:rPr>
          <w:rFonts w:ascii="仿宋_GB2312" w:hAnsi="仿宋" w:eastAsia="仿宋_GB2312" w:cs="仿宋"/>
          <w:bCs/>
          <w:sz w:val="32"/>
          <w:szCs w:val="32"/>
        </w:rPr>
      </w:pPr>
      <w:r>
        <w:rPr>
          <w:rFonts w:hint="eastAsia" w:ascii="仿宋_GB2312" w:hAnsi="仿宋" w:eastAsia="仿宋_GB2312" w:cs="仿宋"/>
          <w:bCs/>
          <w:sz w:val="32"/>
          <w:szCs w:val="32"/>
        </w:rPr>
        <w:t>本单位为</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一级</w:t>
      </w:r>
      <w:r>
        <w:rPr>
          <w:rFonts w:hint="eastAsia" w:ascii="仿宋_GB2312" w:hAnsi="仿宋" w:eastAsia="仿宋_GB2312" w:cs="仿宋"/>
          <w:bCs/>
          <w:spacing w:val="14"/>
          <w:sz w:val="32"/>
          <w:szCs w:val="32"/>
        </w:rPr>
        <w:t>预算单位，单位性质</w:t>
      </w:r>
      <w:r>
        <w:rPr>
          <w:rFonts w:hint="eastAsia" w:ascii="仿宋_GB2312" w:hAnsi="仿宋" w:eastAsia="仿宋_GB2312" w:cs="仿宋"/>
          <w:bCs/>
          <w:sz w:val="32"/>
          <w:szCs w:val="32"/>
        </w:rPr>
        <w:t>为</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财政补助</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rPr>
        <w:t>单位（按封面“单位基本性质”填列），决算编报类型为</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单户表</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rPr>
        <w:t>（按封面“报表类型”填列），按照</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政府</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rPr>
        <w:t>会计制度填报决算数据（按封面“单位执行会计制度”填列）。</w:t>
      </w:r>
    </w:p>
    <w:p>
      <w:pPr>
        <w:ind w:firstLine="567"/>
        <w:rPr>
          <w:rFonts w:ascii="仿宋_GB2312" w:hAnsi="仿宋" w:eastAsia="仿宋_GB2312" w:cs="仿宋"/>
          <w:bCs/>
          <w:sz w:val="32"/>
          <w:szCs w:val="32"/>
        </w:rPr>
      </w:pPr>
      <w:r>
        <w:rPr>
          <w:rFonts w:hint="eastAsia" w:ascii="仿宋_GB2312" w:hAnsi="仿宋" w:eastAsia="仿宋_GB2312" w:cs="仿宋"/>
          <w:bCs/>
          <w:sz w:val="32"/>
          <w:szCs w:val="32"/>
        </w:rPr>
        <w:t>纳入本套决算编制范围的独立核算单位共</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1</w:t>
      </w:r>
      <w:r>
        <w:rPr>
          <w:rFonts w:hint="eastAsia" w:ascii="仿宋_GB2312" w:hAnsi="仿宋" w:eastAsia="仿宋_GB2312" w:cs="仿宋"/>
          <w:bCs/>
          <w:sz w:val="32"/>
          <w:szCs w:val="32"/>
          <w:u w:val="single"/>
        </w:rPr>
        <w:t>　</w:t>
      </w:r>
      <w:r>
        <w:rPr>
          <w:rFonts w:hint="eastAsia" w:ascii="仿宋_GB2312" w:hAnsi="仿宋" w:eastAsia="仿宋_GB2312" w:cs="仿宋"/>
          <w:bCs/>
          <w:sz w:val="32"/>
          <w:szCs w:val="32"/>
        </w:rPr>
        <w:t>个，比上年增减</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u w:val="single"/>
          <w:lang w:val="en-US" w:eastAsia="zh-CN"/>
        </w:rPr>
        <w:t>0</w:t>
      </w:r>
      <w:r>
        <w:rPr>
          <w:rFonts w:hint="eastAsia" w:ascii="仿宋_GB2312" w:hAnsi="仿宋" w:eastAsia="仿宋_GB2312" w:cs="仿宋"/>
          <w:bCs/>
          <w:sz w:val="32"/>
          <w:szCs w:val="32"/>
          <w:u w:val="single"/>
        </w:rPr>
        <w:t xml:space="preserve">  </w:t>
      </w:r>
      <w:r>
        <w:rPr>
          <w:rFonts w:hint="eastAsia" w:ascii="仿宋_GB2312" w:hAnsi="仿宋" w:eastAsia="仿宋_GB2312" w:cs="仿宋"/>
          <w:bCs/>
          <w:sz w:val="32"/>
          <w:szCs w:val="32"/>
        </w:rPr>
        <w:t>个。</w:t>
      </w:r>
    </w:p>
    <w:p>
      <w:pPr>
        <w:ind w:firstLine="707" w:firstLineChars="221"/>
        <w:rPr>
          <w:rFonts w:ascii="黑体" w:hAnsi="黑体" w:eastAsia="黑体" w:cs="Times New Roman"/>
          <w:color w:val="000000"/>
          <w:sz w:val="32"/>
          <w:szCs w:val="32"/>
        </w:rPr>
      </w:pPr>
      <w:r>
        <w:rPr>
          <w:rFonts w:hint="eastAsia" w:ascii="黑体" w:hAnsi="黑体" w:eastAsia="黑体" w:cs="黑体"/>
          <w:color w:val="000000"/>
          <w:sz w:val="32"/>
          <w:szCs w:val="32"/>
        </w:rPr>
        <w:t>三、基础数据核对情况</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（一）财政资金对账情况。</w:t>
      </w:r>
    </w:p>
    <w:p>
      <w:pPr>
        <w:ind w:firstLine="709"/>
        <w:rPr>
          <w:rFonts w:ascii="仿宋_GB2312" w:hAnsi="仿宋" w:eastAsia="仿宋_GB2312" w:cs="Times New Roman"/>
          <w:b/>
          <w:color w:val="000000"/>
          <w:sz w:val="32"/>
          <w:szCs w:val="32"/>
        </w:rPr>
      </w:pPr>
      <w:r>
        <w:rPr>
          <w:rFonts w:hint="eastAsia" w:ascii="仿宋_GB2312" w:hAnsi="仿宋" w:eastAsia="仿宋_GB2312" w:cs="仿宋"/>
          <w:b/>
          <w:color w:val="000000"/>
          <w:sz w:val="32"/>
          <w:szCs w:val="32"/>
        </w:rPr>
        <w:t>1．财政拨款核对情况。</w:t>
      </w:r>
    </w:p>
    <w:p>
      <w:pPr>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（1）单位本年度实际收到的</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公共预算财政拨款收入</w:t>
      </w:r>
      <w:r>
        <w:rPr>
          <w:rFonts w:hint="eastAsia" w:ascii="仿宋_GB2312" w:hAnsi="仿宋" w:eastAsia="仿宋_GB2312" w:cs="仿宋"/>
          <w:color w:val="000000"/>
          <w:sz w:val="32"/>
          <w:szCs w:val="32"/>
          <w:u w:val="single"/>
          <w:lang w:val="en-US" w:eastAsia="zh-CN"/>
        </w:rPr>
        <w:t>727.72</w:t>
      </w:r>
      <w:r>
        <w:rPr>
          <w:rFonts w:hint="eastAsia" w:ascii="仿宋_GB2312" w:hAnsi="仿宋" w:eastAsia="仿宋_GB2312" w:cs="仿宋"/>
          <w:color w:val="000000"/>
          <w:sz w:val="32"/>
          <w:szCs w:val="32"/>
        </w:rPr>
        <w:t>万元，财政部门拨款对账单</w:t>
      </w:r>
      <w:r>
        <w:rPr>
          <w:rFonts w:hint="eastAsia" w:ascii="仿宋_GB2312" w:hAnsi="仿宋" w:eastAsia="仿宋_GB2312" w:cs="仿宋"/>
          <w:color w:val="000000"/>
          <w:sz w:val="32"/>
          <w:szCs w:val="32"/>
          <w:u w:val="single"/>
          <w:lang w:val="en-US" w:eastAsia="zh-CN"/>
        </w:rPr>
        <w:t>727.72</w:t>
      </w:r>
      <w:r>
        <w:rPr>
          <w:rFonts w:hint="eastAsia" w:ascii="仿宋_GB2312" w:hAnsi="仿宋" w:eastAsia="仿宋_GB2312" w:cs="仿宋"/>
          <w:color w:val="000000"/>
          <w:sz w:val="32"/>
          <w:szCs w:val="32"/>
        </w:rPr>
        <w:t>万元，差额</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u w:val="single"/>
          <w:lang w:val="en-US" w:eastAsia="zh-CN"/>
        </w:rPr>
        <w:t>0</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仿宋"/>
          <w:color w:val="000000"/>
          <w:sz w:val="32"/>
          <w:szCs w:val="32"/>
        </w:rPr>
        <w:t>万元。对差额原因进行说明。</w:t>
      </w:r>
    </w:p>
    <w:p>
      <w:pPr>
        <w:ind w:firstLine="709"/>
        <w:rPr>
          <w:rFonts w:ascii="仿宋_GB2312" w:hAnsi="仿宋" w:eastAsia="仿宋_GB2312" w:cs="Times New Roman"/>
          <w:color w:val="000000"/>
          <w:sz w:val="32"/>
          <w:szCs w:val="32"/>
        </w:rPr>
      </w:pPr>
      <w:r>
        <w:rPr>
          <w:rFonts w:hint="eastAsia" w:ascii="仿宋_GB2312" w:hAnsi="仿宋" w:eastAsia="仿宋_GB2312" w:cs="仿宋"/>
          <w:color w:val="000000"/>
          <w:sz w:val="32"/>
          <w:szCs w:val="32"/>
        </w:rPr>
        <w:t>（2）单位本年度政府性基金预算财政拨款收入</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u w:val="single"/>
          <w:lang w:val="en-US" w:eastAsia="zh-CN"/>
        </w:rPr>
        <w:t>0</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仿宋"/>
          <w:color w:val="000000"/>
          <w:sz w:val="32"/>
          <w:szCs w:val="32"/>
        </w:rPr>
        <w:t>万元，财政部门拨款对账单</w:t>
      </w:r>
      <w:r>
        <w:rPr>
          <w:rFonts w:hint="eastAsia" w:ascii="仿宋_GB2312" w:eastAsia="仿宋_GB2312" w:cs="Times New Roman"/>
          <w:color w:val="000000"/>
          <w:sz w:val="32"/>
          <w:szCs w:val="32"/>
          <w:u w:val="single"/>
        </w:rPr>
        <w:t> </w:t>
      </w:r>
      <w:r>
        <w:rPr>
          <w:rFonts w:hint="eastAsia" w:ascii="仿宋_GB2312" w:eastAsia="仿宋_GB2312" w:cs="Times New Roman"/>
          <w:color w:val="000000"/>
          <w:sz w:val="32"/>
          <w:szCs w:val="32"/>
          <w:u w:val="single"/>
          <w:lang w:val="en-US" w:eastAsia="zh-CN"/>
        </w:rPr>
        <w:t>0</w:t>
      </w:r>
      <w:r>
        <w:rPr>
          <w:rFonts w:hint="eastAsia" w:ascii="宋体" w:hAnsi="宋体" w:cs="宋体"/>
          <w:color w:val="000000"/>
          <w:sz w:val="32"/>
          <w:szCs w:val="32"/>
          <w:u w:val="single"/>
        </w:rPr>
        <w:t> </w:t>
      </w:r>
      <w:r>
        <w:rPr>
          <w:rFonts w:hint="eastAsia" w:ascii="仿宋_GB2312" w:hAnsi="仿宋" w:eastAsia="仿宋_GB2312" w:cs="仿宋"/>
          <w:color w:val="000000"/>
          <w:sz w:val="32"/>
          <w:szCs w:val="32"/>
        </w:rPr>
        <w:t>万元，差额</w:t>
      </w:r>
      <w:r>
        <w:rPr>
          <w:rFonts w:hint="eastAsia" w:ascii="仿宋_GB2312" w:eastAsia="仿宋_GB2312" w:cs="Times New Roman"/>
          <w:color w:val="000000"/>
          <w:sz w:val="32"/>
          <w:szCs w:val="32"/>
          <w:u w:val="single"/>
        </w:rPr>
        <w:t> </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Times New Roman"/>
          <w:color w:val="000000"/>
          <w:sz w:val="32"/>
          <w:szCs w:val="32"/>
          <w:u w:val="single"/>
          <w:lang w:val="en-US" w:eastAsia="zh-CN"/>
        </w:rPr>
        <w:t>0</w:t>
      </w:r>
      <w:r>
        <w:rPr>
          <w:rFonts w:hint="eastAsia" w:ascii="仿宋_GB2312" w:hAnsi="仿宋" w:eastAsia="仿宋_GB2312" w:cs="Times New Roman"/>
          <w:color w:val="000000"/>
          <w:sz w:val="32"/>
          <w:szCs w:val="32"/>
          <w:u w:val="single"/>
        </w:rPr>
        <w:t xml:space="preserve"> </w:t>
      </w:r>
      <w:r>
        <w:rPr>
          <w:rFonts w:hint="eastAsia" w:ascii="仿宋_GB2312" w:hAnsi="仿宋" w:eastAsia="仿宋_GB2312" w:cs="仿宋"/>
          <w:color w:val="000000"/>
          <w:sz w:val="32"/>
          <w:szCs w:val="32"/>
        </w:rPr>
        <w:t>万元。对差额原因进行说明。</w:t>
      </w:r>
    </w:p>
    <w:p>
      <w:pPr>
        <w:ind w:firstLine="709"/>
        <w:rPr>
          <w:rFonts w:ascii="仿宋_GB2312" w:hAnsi="仿宋" w:eastAsia="仿宋_GB2312" w:cs="Times New Roman"/>
          <w:b/>
          <w:color w:val="000000"/>
          <w:sz w:val="32"/>
          <w:szCs w:val="32"/>
        </w:rPr>
      </w:pPr>
      <w:r>
        <w:rPr>
          <w:rFonts w:hint="eastAsia" w:ascii="仿宋_GB2312" w:hAnsi="仿宋" w:eastAsia="仿宋_GB2312" w:cs="仿宋"/>
          <w:b/>
          <w:color w:val="000000"/>
          <w:sz w:val="32"/>
          <w:szCs w:val="32"/>
        </w:rPr>
        <w:t>2．其他需要说明的情况。</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（二）与上年指标核对情况。</w:t>
      </w:r>
    </w:p>
    <w:p>
      <w:pPr>
        <w:ind w:firstLine="640" w:firstLineChars="200"/>
        <w:rPr>
          <w:rFonts w:hint="eastAsia" w:ascii="仿宋_GB2312" w:hAnsi="仿宋" w:eastAsia="仿宋_GB2312" w:cs="仿宋"/>
          <w:color w:val="auto"/>
          <w:sz w:val="32"/>
          <w:szCs w:val="32"/>
          <w:highlight w:val="none"/>
          <w:lang w:eastAsia="zh-CN"/>
        </w:rPr>
      </w:pPr>
      <w:r>
        <w:rPr>
          <w:rFonts w:hint="eastAsia" w:ascii="仿宋_GB2312" w:hAnsi="仿宋" w:eastAsia="仿宋_GB2312" w:cs="仿宋"/>
          <w:color w:val="000000"/>
          <w:sz w:val="32"/>
          <w:szCs w:val="32"/>
        </w:rPr>
        <w:t>1．全口径、</w:t>
      </w:r>
      <w:r>
        <w:rPr>
          <w:rFonts w:hint="eastAsia" w:ascii="仿宋_GB2312" w:hAnsi="仿宋" w:eastAsia="仿宋_GB2312" w:cs="仿宋"/>
          <w:bCs/>
          <w:color w:val="000000"/>
          <w:sz w:val="32"/>
          <w:szCs w:val="32"/>
        </w:rPr>
        <w:t>一般</w:t>
      </w:r>
      <w:r>
        <w:rPr>
          <w:rFonts w:hint="eastAsia" w:ascii="仿宋_GB2312" w:hAnsi="仿宋" w:eastAsia="仿宋_GB2312" w:cs="仿宋"/>
          <w:color w:val="000000"/>
          <w:sz w:val="32"/>
          <w:szCs w:val="32"/>
        </w:rPr>
        <w:t>公共预算财政拨款和政府性基金预算财政拨款的结转和结余资金本年年初数与上年年末数不一致的</w:t>
      </w:r>
      <w:r>
        <w:rPr>
          <w:rFonts w:hint="eastAsia" w:ascii="仿宋_GB2312" w:hAnsi="仿宋" w:eastAsia="仿宋_GB2312" w:cs="仿宋"/>
          <w:color w:val="auto"/>
          <w:sz w:val="32"/>
          <w:szCs w:val="32"/>
        </w:rPr>
        <w:t>情况</w:t>
      </w:r>
      <w:r>
        <w:rPr>
          <w:rFonts w:hint="eastAsia" w:ascii="仿宋_GB2312" w:hAnsi="仿宋" w:eastAsia="仿宋_GB2312" w:cs="仿宋"/>
          <w:color w:val="auto"/>
          <w:sz w:val="32"/>
          <w:szCs w:val="32"/>
          <w:highlight w:val="none"/>
        </w:rPr>
        <w:t>说明，包括会计</w:t>
      </w:r>
      <w:r>
        <w:rPr>
          <w:rFonts w:hint="eastAsia" w:ascii="仿宋_GB2312" w:hAnsi="仿宋" w:eastAsia="仿宋_GB2312" w:cs="仿宋"/>
          <w:bCs/>
          <w:color w:val="auto"/>
          <w:sz w:val="32"/>
          <w:szCs w:val="32"/>
          <w:highlight w:val="none"/>
        </w:rPr>
        <w:t>差错更正、收回以前年度支出</w:t>
      </w:r>
      <w:r>
        <w:rPr>
          <w:rFonts w:hint="eastAsia" w:ascii="仿宋_GB2312" w:hAnsi="仿宋" w:eastAsia="仿宋_GB2312" w:cs="仿宋"/>
          <w:color w:val="auto"/>
          <w:sz w:val="32"/>
          <w:szCs w:val="32"/>
          <w:highlight w:val="none"/>
        </w:rPr>
        <w:t>、归集调入、归集调出、归集上缴和缴回资金</w:t>
      </w:r>
      <w:r>
        <w:rPr>
          <w:rFonts w:hint="eastAsia" w:ascii="仿宋_GB2312" w:hAnsi="仿宋" w:eastAsia="仿宋_GB2312" w:cs="仿宋"/>
          <w:color w:val="auto"/>
          <w:sz w:val="32"/>
          <w:szCs w:val="32"/>
          <w:highlight w:val="none"/>
          <w:lang w:eastAsia="zh-CN"/>
        </w:rPr>
        <w:t>及单位内部调剂</w:t>
      </w:r>
      <w:r>
        <w:rPr>
          <w:rFonts w:hint="eastAsia" w:ascii="仿宋_GB2312" w:hAnsi="仿宋" w:eastAsia="仿宋_GB2312" w:cs="仿宋"/>
          <w:color w:val="auto"/>
          <w:sz w:val="32"/>
          <w:szCs w:val="32"/>
          <w:highlight w:val="none"/>
        </w:rPr>
        <w:t>等情况（附表）。</w:t>
      </w:r>
      <w:r>
        <w:rPr>
          <w:rFonts w:hint="eastAsia" w:ascii="仿宋_GB2312" w:hAnsi="仿宋" w:eastAsia="仿宋_GB2312" w:cs="仿宋"/>
          <w:color w:val="auto"/>
          <w:sz w:val="32"/>
          <w:szCs w:val="32"/>
          <w:highlight w:val="none"/>
          <w:lang w:eastAsia="zh-CN"/>
        </w:rPr>
        <w:t>因新旧会计制度转换，按照</w:t>
      </w:r>
      <w:r>
        <w:rPr>
          <w:rFonts w:hint="eastAsia" w:ascii="仿宋_GB2312" w:hAnsi="仿宋" w:eastAsia="仿宋_GB2312" w:cs="仿宋"/>
          <w:color w:val="auto"/>
          <w:sz w:val="32"/>
          <w:szCs w:val="32"/>
          <w:highlight w:val="none"/>
        </w:rPr>
        <w:t>法定会计政策变更追溯调整形成的差异</w:t>
      </w:r>
      <w:r>
        <w:rPr>
          <w:rFonts w:hint="eastAsia" w:ascii="仿宋_GB2312" w:hAnsi="仿宋" w:eastAsia="仿宋_GB2312" w:cs="仿宋"/>
          <w:color w:val="auto"/>
          <w:sz w:val="32"/>
          <w:szCs w:val="32"/>
          <w:highlight w:val="none"/>
          <w:lang w:eastAsia="zh-CN"/>
        </w:rPr>
        <w:t>，在“其他”栏目填列并在备注予以说明。</w:t>
      </w:r>
    </w:p>
    <w:p>
      <w:pPr>
        <w:ind w:firstLine="640" w:firstLineChars="200"/>
        <w:rPr>
          <w:rFonts w:hint="default" w:ascii="仿宋_GB2312" w:hAnsi="仿宋" w:eastAsia="仿宋_GB2312" w:cs="仿宋"/>
          <w:color w:val="auto"/>
          <w:sz w:val="32"/>
          <w:szCs w:val="32"/>
          <w:highlight w:val="none"/>
          <w:lang w:val="en-US" w:eastAsia="zh-CN"/>
        </w:rPr>
      </w:pPr>
      <w:r>
        <w:rPr>
          <w:rFonts w:hint="eastAsia" w:ascii="仿宋_GB2312" w:hAnsi="仿宋" w:eastAsia="仿宋_GB2312" w:cs="仿宋"/>
          <w:color w:val="000000"/>
          <w:sz w:val="32"/>
          <w:szCs w:val="32"/>
          <w:lang w:val="en-US" w:eastAsia="zh-CN"/>
        </w:rPr>
        <w:t>本单位本年度无此情况。</w:t>
      </w:r>
    </w:p>
    <w:p>
      <w:pPr>
        <w:numPr>
          <w:ilvl w:val="0"/>
          <w:numId w:val="1"/>
        </w:numPr>
        <w:ind w:firstLine="70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主要指标上下年变动幅度超过20%，其中机构人员指标上下年</w:t>
      </w:r>
      <w:r>
        <w:rPr>
          <w:rFonts w:hint="eastAsia" w:ascii="仿宋_GB2312" w:hAnsi="仿宋" w:eastAsia="仿宋_GB2312" w:cs="仿宋"/>
          <w:color w:val="000000"/>
          <w:sz w:val="32"/>
          <w:szCs w:val="32"/>
          <w:lang w:val="en-US" w:eastAsia="zh-CN"/>
        </w:rPr>
        <w:t>有</w:t>
      </w:r>
      <w:r>
        <w:rPr>
          <w:rFonts w:hint="eastAsia" w:ascii="仿宋_GB2312" w:hAnsi="仿宋" w:eastAsia="仿宋_GB2312" w:cs="仿宋"/>
          <w:color w:val="000000"/>
          <w:sz w:val="32"/>
          <w:szCs w:val="32"/>
        </w:rPr>
        <w:t>变动的，应具体核实并说明原因（附表）。</w:t>
      </w:r>
    </w:p>
    <w:p>
      <w:pPr>
        <w:numPr>
          <w:ilvl w:val="0"/>
          <w:numId w:val="0"/>
        </w:numPr>
        <w:rPr>
          <w:rFonts w:hint="eastAsia" w:ascii="仿宋_GB2312" w:hAnsi="仿宋" w:eastAsia="仿宋_GB2312" w:cs="仿宋"/>
          <w:color w:val="000000"/>
          <w:sz w:val="32"/>
          <w:szCs w:val="32"/>
        </w:rPr>
      </w:pPr>
    </w:p>
    <w:p>
      <w:pPr>
        <w:rPr>
          <w:rFonts w:hint="eastAsia" w:ascii="仿宋_GB2312" w:hAnsi="仿宋" w:eastAsia="仿宋_GB2312" w:cs="仿宋"/>
          <w:color w:val="000000"/>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color w:val="000000"/>
          <w:sz w:val="32"/>
          <w:szCs w:val="32"/>
        </w:rPr>
        <w:br w:type="page"/>
      </w:r>
    </w:p>
    <w:tbl>
      <w:tblPr>
        <w:tblStyle w:val="5"/>
        <w:tblW w:w="15404" w:type="dxa"/>
        <w:tblInd w:w="0" w:type="dxa"/>
        <w:shd w:val="clear" w:color="auto" w:fill="auto"/>
        <w:tblLayout w:type="fixed"/>
        <w:tblCellMar>
          <w:top w:w="0" w:type="dxa"/>
          <w:left w:w="0" w:type="dxa"/>
          <w:bottom w:w="0" w:type="dxa"/>
          <w:right w:w="0" w:type="dxa"/>
        </w:tblCellMar>
      </w:tblPr>
      <w:tblGrid>
        <w:gridCol w:w="4204"/>
        <w:gridCol w:w="464"/>
        <w:gridCol w:w="1506"/>
        <w:gridCol w:w="1421"/>
        <w:gridCol w:w="1496"/>
        <w:gridCol w:w="1190"/>
        <w:gridCol w:w="5123"/>
      </w:tblGrid>
      <w:tr>
        <w:tblPrEx>
          <w:tblCellMar>
            <w:top w:w="0" w:type="dxa"/>
            <w:left w:w="0" w:type="dxa"/>
            <w:bottom w:w="0" w:type="dxa"/>
            <w:right w:w="0" w:type="dxa"/>
          </w:tblCellMar>
        </w:tblPrEx>
        <w:trPr>
          <w:trHeight w:val="564" w:hRule="atLeast"/>
        </w:trPr>
        <w:tc>
          <w:tcPr>
            <w:tcW w:w="15404" w:type="dxa"/>
            <w:gridSpan w:val="7"/>
            <w:tcBorders>
              <w:top w:val="nil"/>
              <w:left w:val="nil"/>
              <w:bottom w:val="nil"/>
              <w:right w:val="nil"/>
            </w:tcBorders>
            <w:shd w:val="clear" w:color="auto" w:fill="auto"/>
            <w:noWrap/>
            <w:tcMar>
              <w:top w:w="12" w:type="dxa"/>
              <w:left w:w="12" w:type="dxa"/>
              <w:right w:w="12" w:type="dxa"/>
            </w:tcMar>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2020年度主要指标变动情况表</w:t>
            </w:r>
          </w:p>
        </w:tc>
      </w:tr>
      <w:tr>
        <w:tblPrEx>
          <w:tblCellMar>
            <w:top w:w="0" w:type="dxa"/>
            <w:left w:w="0" w:type="dxa"/>
            <w:bottom w:w="0" w:type="dxa"/>
            <w:right w:w="0" w:type="dxa"/>
          </w:tblCellMar>
        </w:tblPrEx>
        <w:trPr>
          <w:trHeight w:val="312" w:hRule="atLeast"/>
        </w:trPr>
        <w:tc>
          <w:tcPr>
            <w:tcW w:w="4204"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p>
        </w:tc>
        <w:tc>
          <w:tcPr>
            <w:tcW w:w="464"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50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421" w:type="dxa"/>
            <w:tcBorders>
              <w:top w:val="nil"/>
              <w:left w:val="nil"/>
              <w:bottom w:val="nil"/>
              <w:right w:val="nil"/>
            </w:tcBorders>
            <w:shd w:val="clear" w:color="auto" w:fill="auto"/>
            <w:noWrap/>
            <w:tcMar>
              <w:top w:w="12" w:type="dxa"/>
              <w:left w:w="12" w:type="dxa"/>
              <w:right w:w="12"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1496"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1190"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c>
          <w:tcPr>
            <w:tcW w:w="5123" w:type="dxa"/>
            <w:tcBorders>
              <w:top w:val="nil"/>
              <w:left w:val="nil"/>
              <w:bottom w:val="nil"/>
              <w:right w:val="nil"/>
            </w:tcBorders>
            <w:shd w:val="clear" w:color="auto" w:fill="auto"/>
            <w:noWrap/>
            <w:tcMar>
              <w:top w:w="12" w:type="dxa"/>
              <w:left w:w="12" w:type="dxa"/>
              <w:right w:w="12"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308" w:hRule="atLeast"/>
        </w:trPr>
        <w:tc>
          <w:tcPr>
            <w:tcW w:w="4204" w:type="dxa"/>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    标</w:t>
            </w:r>
          </w:p>
        </w:tc>
        <w:tc>
          <w:tcPr>
            <w:tcW w:w="464" w:type="dxa"/>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06" w:type="dxa"/>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本年度</w:t>
            </w:r>
          </w:p>
        </w:tc>
        <w:tc>
          <w:tcPr>
            <w:tcW w:w="1421" w:type="dxa"/>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上年度</w:t>
            </w:r>
          </w:p>
        </w:tc>
        <w:tc>
          <w:tcPr>
            <w:tcW w:w="1496" w:type="dxa"/>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比上年增减</w:t>
            </w:r>
          </w:p>
        </w:tc>
        <w:tc>
          <w:tcPr>
            <w:tcW w:w="1190" w:type="dxa"/>
            <w:vMerge w:val="restart"/>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增减％</w:t>
            </w:r>
          </w:p>
        </w:tc>
        <w:tc>
          <w:tcPr>
            <w:tcW w:w="5123" w:type="dxa"/>
            <w:vMerge w:val="restart"/>
            <w:tcBorders>
              <w:top w:val="single" w:color="000000" w:sz="4" w:space="0"/>
              <w:left w:val="nil"/>
              <w:bottom w:val="single" w:color="000000" w:sz="4" w:space="0"/>
              <w:right w:val="single" w:color="000000" w:sz="8"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原因</w:t>
            </w:r>
          </w:p>
        </w:tc>
      </w:tr>
      <w:tr>
        <w:tblPrEx>
          <w:tblCellMar>
            <w:top w:w="0" w:type="dxa"/>
            <w:left w:w="0" w:type="dxa"/>
            <w:bottom w:w="0" w:type="dxa"/>
            <w:right w:w="0" w:type="dxa"/>
          </w:tblCellMar>
        </w:tblPrEx>
        <w:trPr>
          <w:trHeight w:val="312" w:hRule="atLeast"/>
        </w:trPr>
        <w:tc>
          <w:tcPr>
            <w:tcW w:w="4204" w:type="dxa"/>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64"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6"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21"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190"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5123" w:type="dxa"/>
            <w:vMerge w:val="continue"/>
            <w:tcBorders>
              <w:top w:val="single" w:color="000000" w:sz="4" w:space="0"/>
              <w:left w:val="nil"/>
              <w:bottom w:val="single" w:color="000000" w:sz="4" w:space="0"/>
              <w:right w:val="single" w:color="000000" w:sz="8"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栏    次 </w:t>
            </w:r>
          </w:p>
        </w:tc>
        <w:tc>
          <w:tcPr>
            <w:tcW w:w="464" w:type="dxa"/>
            <w:vMerge w:val="continue"/>
            <w:tcBorders>
              <w:top w:val="single" w:color="000000" w:sz="4" w:space="0"/>
              <w:left w:val="nil"/>
              <w:bottom w:val="single" w:color="000000" w:sz="4" w:space="0"/>
              <w:right w:val="single" w:color="000000" w:sz="4" w:space="0"/>
            </w:tcBorders>
            <w:shd w:val="clear" w:color="FFFFFF" w:fill="C0C0C0"/>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506"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1"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6"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0"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123" w:type="dxa"/>
            <w:tcBorders>
              <w:top w:val="nil"/>
              <w:left w:val="nil"/>
              <w:bottom w:val="single" w:color="000000" w:sz="4" w:space="0"/>
              <w:right w:val="single" w:color="000000" w:sz="8"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一、年度收支情况（单位：元）</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1.本年收入</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7,284,310.98</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1,217,219.49</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6,067,091.49</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498.44</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本年项目支出增加，新增安保人员工资由本单位支付</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7,277,206.69</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1,214,346.52</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6,062,860.17</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499.27</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本年项目支出增加，新增安保人员工资由本单位支付</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*事业收入</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事业单位经营收入</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*其他收入</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7,104.29</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2,872.97</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4,231.32</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147.28</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本年利息收入减少</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2.本年支出</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7,292,864.32</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1,214,701.52</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6,078,162.80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500.38</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其中：基本支出</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2,982,967.07</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1,125,343.27</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1,857,623.80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165.07</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本年开始保安人员劳务费由本单位支付，故本年相关收入支出有所提高。</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（1）人员经费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517,549.83</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483,737.76</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33,812.07</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（2）公用经费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2,465,417.24</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641,605.51</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1,823,811.73</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284.26</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本年开始保安人员劳务费由本单位支付，故本年相关收入支出有所提高。</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项目支出</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4,309,897.25</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89,358.25</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4,220,539.00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4,723.17</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其中：基本建设类项目</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事业单位经营支出</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3.年末结转和结余</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3,236.54</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11,789.88</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-8,553.34</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-72.55</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本年使用上年结转资金</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其中：一般公共预算财政拨款</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二、年末资产负债信息（单位：元）</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1.货币资金</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10,605.17</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10,734.20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-129.03</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2.财政应返还额度</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3.房屋</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4.车辆</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5.在建工程</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6.借款</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7.应缴财政款</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8.应付职工薪酬</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三、年末机构人员情况（单位：个、人）</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1.独立编制机构数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2.独立核算机构数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3.年末实有人数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在职人员</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其中：行政人员</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参照公务员法管理事业人员</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非参公事业人员</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离休人员</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退休人员</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4.年末其他人员数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5.年末学生人数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四、补充资料（单位：元）</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1.固定资产情况</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房屋面积（平方米）</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车辆数量（辆）</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2.“三公”经费支出</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其中：因公出国（境）费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公务用车购置及运行维护费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其中：公务用车购置费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3.培训费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4.会议费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5.机关运行经费</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2,455,759.61</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641,250.51</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1,814,509.10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282.96</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6.年初预算数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本年收入合计</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5,308,768.00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1,090,889.00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4,217,879.00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386.65</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本年支出合计</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5,308,768.00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1,090,889.00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4,217,879.00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386.65</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7.调整预算数</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本年收入合计</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7,277,206.69</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1,214,346.52</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6,062,860.17</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499.27</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shd w:val="clear" w:color="auto" w:fill="auto"/>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本年支出合计</w:t>
            </w:r>
          </w:p>
        </w:tc>
        <w:tc>
          <w:tcPr>
            <w:tcW w:w="464" w:type="dxa"/>
            <w:tcBorders>
              <w:top w:val="nil"/>
              <w:left w:val="nil"/>
              <w:bottom w:val="single" w:color="000000" w:sz="4"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50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7,288,996.57</w:t>
            </w:r>
          </w:p>
        </w:tc>
        <w:tc>
          <w:tcPr>
            <w:tcW w:w="1421"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1,223,618.43</w:t>
            </w:r>
          </w:p>
        </w:tc>
        <w:tc>
          <w:tcPr>
            <w:tcW w:w="1496"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6,065,378.14</w:t>
            </w:r>
          </w:p>
        </w:tc>
        <w:tc>
          <w:tcPr>
            <w:tcW w:w="1190" w:type="dxa"/>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495.69</w:t>
            </w:r>
          </w:p>
        </w:tc>
        <w:tc>
          <w:tcPr>
            <w:tcW w:w="5123" w:type="dxa"/>
            <w:tcBorders>
              <w:top w:val="nil"/>
              <w:left w:val="nil"/>
              <w:bottom w:val="single" w:color="000000" w:sz="4"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本年项目支出增加</w:t>
            </w:r>
          </w:p>
        </w:tc>
      </w:tr>
      <w:tr>
        <w:tblPrEx>
          <w:tblCellMar>
            <w:top w:w="0" w:type="dxa"/>
            <w:left w:w="0" w:type="dxa"/>
            <w:bottom w:w="0" w:type="dxa"/>
            <w:right w:w="0" w:type="dxa"/>
          </w:tblCellMar>
        </w:tblPrEx>
        <w:trPr>
          <w:trHeight w:val="308" w:hRule="atLeast"/>
        </w:trPr>
        <w:tc>
          <w:tcPr>
            <w:tcW w:w="4204" w:type="dxa"/>
            <w:tcBorders>
              <w:top w:val="nil"/>
              <w:left w:val="single" w:color="000000" w:sz="4" w:space="0"/>
              <w:bottom w:val="single" w:color="000000" w:sz="8"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464" w:type="dxa"/>
            <w:tcBorders>
              <w:top w:val="nil"/>
              <w:left w:val="nil"/>
              <w:bottom w:val="single" w:color="000000" w:sz="8" w:space="0"/>
              <w:right w:val="single" w:color="000000" w:sz="4" w:space="0"/>
            </w:tcBorders>
            <w:shd w:val="clear" w:color="FFFFFF" w:fill="C0C0C0"/>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506" w:type="dxa"/>
            <w:tcBorders>
              <w:top w:val="nil"/>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21" w:type="dxa"/>
            <w:tcBorders>
              <w:top w:val="nil"/>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96" w:type="dxa"/>
            <w:tcBorders>
              <w:top w:val="nil"/>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90" w:type="dxa"/>
            <w:tcBorders>
              <w:top w:val="nil"/>
              <w:left w:val="nil"/>
              <w:bottom w:val="single" w:color="000000" w:sz="8"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3"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jc w:val="left"/>
              <w:rPr>
                <w:rFonts w:hint="eastAsia" w:ascii="宋体" w:hAnsi="宋体" w:eastAsia="宋体" w:cs="宋体"/>
                <w:i w:val="0"/>
                <w:color w:val="000000"/>
                <w:sz w:val="22"/>
                <w:szCs w:val="22"/>
                <w:u w:val="none"/>
              </w:rPr>
            </w:pPr>
          </w:p>
        </w:tc>
      </w:tr>
    </w:tbl>
    <w:p>
      <w:pPr>
        <w:numPr>
          <w:ilvl w:val="0"/>
          <w:numId w:val="0"/>
        </w:numPr>
        <w:rPr>
          <w:rFonts w:hint="eastAsia" w:ascii="仿宋_GB2312" w:hAnsi="仿宋" w:eastAsia="仿宋_GB2312" w:cs="仿宋"/>
          <w:color w:val="000000"/>
          <w:sz w:val="32"/>
          <w:szCs w:val="32"/>
        </w:rPr>
        <w:sectPr>
          <w:pgSz w:w="16838" w:h="11906" w:orient="landscape"/>
          <w:pgMar w:top="1800" w:right="278" w:bottom="887" w:left="600" w:header="851" w:footer="992" w:gutter="0"/>
          <w:cols w:space="425" w:num="1"/>
          <w:docGrid w:type="lines" w:linePitch="312" w:charSpace="0"/>
        </w:sectPr>
      </w:pPr>
    </w:p>
    <w:p>
      <w:pPr>
        <w:ind w:firstLine="640" w:firstLineChars="200"/>
        <w:rPr>
          <w:rFonts w:ascii="黑体" w:hAnsi="黑体" w:eastAsia="黑体" w:cs="黑体"/>
          <w:color w:val="000000"/>
          <w:sz w:val="32"/>
          <w:szCs w:val="32"/>
        </w:rPr>
      </w:pPr>
      <w:r>
        <w:rPr>
          <w:rFonts w:hint="eastAsia" w:ascii="仿宋_GB2312" w:eastAsia="仿宋_GB2312" w:cs="Times New Roman"/>
          <w:color w:val="000000"/>
          <w:sz w:val="32"/>
          <w:szCs w:val="32"/>
        </w:rPr>
        <w:t> </w:t>
      </w:r>
      <w:r>
        <w:rPr>
          <w:rFonts w:hint="eastAsia" w:ascii="黑体" w:hAnsi="黑体" w:eastAsia="黑体" w:cs="黑体"/>
          <w:color w:val="000000"/>
          <w:sz w:val="32"/>
          <w:szCs w:val="32"/>
        </w:rPr>
        <w:t>四、报表审核情况</w:t>
      </w:r>
    </w:p>
    <w:p>
      <w:pPr>
        <w:ind w:firstLine="709"/>
        <w:rPr>
          <w:rFonts w:ascii="楷体_GB2312" w:hAnsi="仿宋" w:eastAsia="楷体_GB2312" w:cs="仿宋"/>
          <w:b/>
          <w:color w:val="000000"/>
          <w:sz w:val="32"/>
          <w:szCs w:val="32"/>
        </w:rPr>
      </w:pPr>
      <w:r>
        <w:rPr>
          <w:rFonts w:hint="eastAsia" w:ascii="楷体_GB2312" w:hAnsi="仿宋" w:eastAsia="楷体_GB2312" w:cs="仿宋"/>
          <w:b/>
          <w:color w:val="000000"/>
          <w:sz w:val="32"/>
          <w:szCs w:val="32"/>
        </w:rPr>
        <w:t>（一）审核情况。</w:t>
      </w:r>
    </w:p>
    <w:p>
      <w:pPr>
        <w:ind w:firstLine="709"/>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1．审核公式。</w:t>
      </w:r>
    </w:p>
    <w:p>
      <w:pPr>
        <w:ind w:firstLine="709"/>
        <w:rPr>
          <w:rFonts w:ascii="仿宋_GB2312" w:hAnsi="仿宋" w:eastAsia="仿宋_GB2312" w:cs="仿宋"/>
          <w:color w:val="000000"/>
          <w:sz w:val="32"/>
          <w:szCs w:val="32"/>
        </w:rPr>
      </w:pPr>
      <w:r>
        <w:rPr>
          <w:rFonts w:hint="eastAsia" w:ascii="仿宋_GB2312" w:hAnsi="仿宋" w:eastAsia="仿宋_GB2312" w:cs="仿宋"/>
          <w:color w:val="000000"/>
          <w:sz w:val="32"/>
          <w:szCs w:val="32"/>
        </w:rPr>
        <w:t>审核公式共提示</w:t>
      </w:r>
      <w:r>
        <w:rPr>
          <w:rFonts w:hint="eastAsia" w:ascii="仿宋_GB2312" w:hAnsi="仿宋" w:eastAsia="仿宋_GB2312" w:cs="仿宋"/>
          <w:color w:val="000000"/>
          <w:sz w:val="32"/>
          <w:szCs w:val="32"/>
          <w:lang w:val="en-US" w:eastAsia="zh-CN"/>
        </w:rPr>
        <w:t>6</w:t>
      </w:r>
      <w:r>
        <w:rPr>
          <w:rFonts w:hint="eastAsia" w:ascii="仿宋_GB2312" w:hAnsi="仿宋" w:eastAsia="仿宋_GB2312" w:cs="仿宋"/>
          <w:color w:val="000000"/>
          <w:sz w:val="32"/>
          <w:szCs w:val="32"/>
        </w:rPr>
        <w:t>条。其中：</w:t>
      </w:r>
    </w:p>
    <w:p>
      <w:pPr>
        <w:ind w:firstLine="709"/>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（1）表间公式共</w:t>
      </w:r>
      <w:r>
        <w:rPr>
          <w:rFonts w:hint="eastAsia" w:ascii="仿宋_GB2312" w:hAnsi="仿宋" w:eastAsia="仿宋_GB2312" w:cs="仿宋"/>
          <w:b/>
          <w:bCs/>
          <w:color w:val="000000"/>
          <w:sz w:val="32"/>
          <w:szCs w:val="32"/>
          <w:lang w:val="en-US" w:eastAsia="zh-CN"/>
        </w:rPr>
        <w:t>0</w:t>
      </w:r>
      <w:r>
        <w:rPr>
          <w:rFonts w:hint="eastAsia" w:ascii="仿宋_GB2312" w:hAnsi="仿宋" w:eastAsia="仿宋_GB2312" w:cs="仿宋"/>
          <w:b/>
          <w:bCs/>
          <w:color w:val="000000"/>
          <w:sz w:val="32"/>
          <w:szCs w:val="32"/>
        </w:rPr>
        <w:t>条。</w:t>
      </w:r>
      <w:r>
        <w:rPr>
          <w:rFonts w:hint="eastAsia" w:ascii="仿宋_GB2312" w:hAnsi="仿宋" w:eastAsia="仿宋_GB2312" w:cs="仿宋"/>
          <w:b/>
          <w:bCs/>
          <w:color w:val="000000"/>
          <w:sz w:val="32"/>
          <w:szCs w:val="32"/>
        </w:rPr>
        <w:tab/>
      </w:r>
      <w:r>
        <w:rPr>
          <w:rFonts w:hint="eastAsia" w:ascii="仿宋_GB2312" w:hAnsi="仿宋" w:eastAsia="仿宋_GB2312" w:cs="仿宋"/>
          <w:b/>
          <w:bCs/>
          <w:color w:val="000000"/>
          <w:sz w:val="32"/>
          <w:szCs w:val="32"/>
        </w:rPr>
        <w:t>　</w:t>
      </w:r>
      <w:r>
        <w:rPr>
          <w:rFonts w:hint="eastAsia" w:ascii="仿宋_GB2312" w:hAnsi="仿宋" w:eastAsia="仿宋_GB2312" w:cs="仿宋"/>
          <w:b/>
          <w:bCs/>
          <w:color w:val="000000"/>
          <w:sz w:val="32"/>
          <w:szCs w:val="32"/>
        </w:rPr>
        <w:tab/>
      </w:r>
      <w:r>
        <w:rPr>
          <w:rFonts w:hint="eastAsia" w:ascii="仿宋_GB2312" w:hAnsi="仿宋" w:eastAsia="仿宋_GB2312" w:cs="仿宋"/>
          <w:b/>
          <w:bCs/>
          <w:color w:val="000000"/>
          <w:sz w:val="32"/>
          <w:szCs w:val="32"/>
        </w:rPr>
        <w:t>　</w:t>
      </w:r>
      <w:r>
        <w:rPr>
          <w:rFonts w:hint="eastAsia" w:ascii="仿宋_GB2312" w:hAnsi="仿宋" w:eastAsia="仿宋_GB2312" w:cs="仿宋"/>
          <w:color w:val="000000"/>
          <w:sz w:val="32"/>
          <w:szCs w:val="32"/>
        </w:rPr>
        <w:tab/>
      </w:r>
      <w:r>
        <w:rPr>
          <w:rFonts w:hint="eastAsia" w:ascii="仿宋_GB2312" w:hAnsi="仿宋" w:eastAsia="仿宋_GB2312" w:cs="仿宋"/>
          <w:color w:val="000000"/>
          <w:sz w:val="32"/>
          <w:szCs w:val="32"/>
        </w:rPr>
        <w:t>　</w:t>
      </w:r>
    </w:p>
    <w:p>
      <w:pPr>
        <w:ind w:firstLine="709"/>
        <w:rPr>
          <w:rFonts w:ascii="仿宋_GB2312" w:hAnsi="仿宋" w:eastAsia="仿宋_GB2312" w:cs="仿宋"/>
          <w:b/>
          <w:bCs/>
          <w:color w:val="000000"/>
          <w:sz w:val="32"/>
          <w:szCs w:val="32"/>
        </w:rPr>
      </w:pPr>
      <w:r>
        <w:rPr>
          <w:rFonts w:hint="eastAsia" w:ascii="仿宋_GB2312" w:hAnsi="仿宋" w:eastAsia="仿宋_GB2312" w:cs="仿宋"/>
          <w:b/>
          <w:bCs/>
          <w:color w:val="000000"/>
          <w:sz w:val="32"/>
          <w:szCs w:val="32"/>
        </w:rPr>
        <w:t>（2）表内公式共</w:t>
      </w:r>
      <w:r>
        <w:rPr>
          <w:rFonts w:hint="eastAsia" w:ascii="仿宋_GB2312" w:hAnsi="仿宋" w:eastAsia="仿宋_GB2312" w:cs="仿宋"/>
          <w:b/>
          <w:bCs/>
          <w:color w:val="000000"/>
          <w:sz w:val="32"/>
          <w:szCs w:val="32"/>
          <w:lang w:val="en-US" w:eastAsia="zh-CN"/>
        </w:rPr>
        <w:t>6</w:t>
      </w:r>
      <w:r>
        <w:rPr>
          <w:rFonts w:hint="eastAsia" w:ascii="仿宋_GB2312" w:hAnsi="仿宋" w:eastAsia="仿宋_GB2312" w:cs="仿宋"/>
          <w:b/>
          <w:bCs/>
          <w:color w:val="000000"/>
          <w:sz w:val="32"/>
          <w:szCs w:val="32"/>
        </w:rPr>
        <w:t>条。</w:t>
      </w:r>
      <w:r>
        <w:rPr>
          <w:rFonts w:hint="eastAsia" w:ascii="仿宋_GB2312" w:hAnsi="仿宋" w:eastAsia="仿宋_GB2312" w:cs="仿宋"/>
          <w:b/>
          <w:bCs/>
          <w:color w:val="000000"/>
          <w:sz w:val="32"/>
          <w:szCs w:val="32"/>
        </w:rPr>
        <w:tab/>
      </w:r>
      <w:r>
        <w:rPr>
          <w:rFonts w:hint="eastAsia" w:ascii="仿宋_GB2312" w:hAnsi="仿宋" w:eastAsia="仿宋_GB2312" w:cs="仿宋"/>
          <w:b/>
          <w:bCs/>
          <w:color w:val="000000"/>
          <w:sz w:val="32"/>
          <w:szCs w:val="32"/>
        </w:rPr>
        <w:tab/>
      </w:r>
      <w:r>
        <w:rPr>
          <w:rFonts w:hint="eastAsia" w:ascii="仿宋_GB2312" w:hAnsi="仿宋" w:eastAsia="仿宋_GB2312" w:cs="仿宋"/>
          <w:b/>
          <w:bCs/>
          <w:color w:val="000000"/>
          <w:sz w:val="32"/>
          <w:szCs w:val="32"/>
        </w:rPr>
        <w:t>　</w:t>
      </w:r>
    </w:p>
    <w:p>
      <w:pPr>
        <w:ind w:firstLine="70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F0-1362</w:t>
      </w:r>
      <w:r>
        <w:rPr>
          <w:rFonts w:hint="eastAsia" w:ascii="仿宋_GB2312" w:hAnsi="仿宋" w:eastAsia="仿宋_GB2312" w:cs="仿宋"/>
          <w:color w:val="000000"/>
          <w:sz w:val="32"/>
          <w:szCs w:val="32"/>
        </w:rPr>
        <w:t>公式，提示内容</w:t>
      </w:r>
      <w:r>
        <w:rPr>
          <w:rFonts w:hint="eastAsia" w:ascii="仿宋_GB2312" w:hAnsi="仿宋" w:eastAsia="仿宋_GB2312" w:cs="仿宋"/>
          <w:color w:val="000000"/>
          <w:sz w:val="32"/>
          <w:szCs w:val="32"/>
          <w:lang w:eastAsia="zh-CN"/>
        </w:rPr>
        <w:t>一般情况下，移交社保的离退休人员不应为0</w:t>
      </w:r>
      <w:r>
        <w:rPr>
          <w:rFonts w:hint="eastAsia" w:ascii="仿宋_GB2312" w:hAnsi="仿宋" w:eastAsia="仿宋_GB2312" w:cs="仿宋"/>
          <w:color w:val="000000"/>
          <w:sz w:val="32"/>
          <w:szCs w:val="32"/>
        </w:rPr>
        <w:t>，保留原因是</w:t>
      </w:r>
      <w:r>
        <w:rPr>
          <w:rFonts w:hint="eastAsia" w:ascii="仿宋_GB2312" w:hAnsi="仿宋" w:eastAsia="仿宋_GB2312" w:cs="仿宋"/>
          <w:color w:val="000000"/>
          <w:sz w:val="32"/>
          <w:szCs w:val="32"/>
          <w:lang w:eastAsia="zh-CN"/>
        </w:rPr>
        <w:t>本单位无退休人员</w:t>
      </w:r>
      <w:r>
        <w:rPr>
          <w:rFonts w:hint="eastAsia" w:ascii="仿宋_GB2312" w:hAnsi="仿宋" w:eastAsia="仿宋_GB2312" w:cs="仿宋"/>
          <w:color w:val="000000"/>
          <w:sz w:val="32"/>
          <w:szCs w:val="32"/>
        </w:rPr>
        <w:t>。</w:t>
      </w:r>
    </w:p>
    <w:p>
      <w:p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F261、F262（二条）公式，提示内容</w:t>
      </w:r>
      <w:r>
        <w:rPr>
          <w:rFonts w:hint="eastAsia" w:ascii="仿宋_GB2312" w:hAnsi="仿宋" w:eastAsia="仿宋_GB2312" w:cs="仿宋"/>
          <w:color w:val="000000"/>
          <w:sz w:val="32"/>
          <w:szCs w:val="32"/>
        </w:rPr>
        <w:t>一般情况下，支出调整预算数应大于等于决算数</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保留原因是决算数中包含其他收入对应支出，其他收入无调整预算数</w:t>
      </w:r>
      <w:r>
        <w:rPr>
          <w:rFonts w:hint="eastAsia" w:ascii="仿宋_GB2312" w:hAnsi="仿宋" w:eastAsia="仿宋_GB2312" w:cs="仿宋"/>
          <w:color w:val="000000"/>
          <w:sz w:val="32"/>
          <w:szCs w:val="32"/>
          <w:lang w:eastAsia="zh-CN"/>
        </w:rPr>
        <w:t>。</w:t>
      </w:r>
    </w:p>
    <w:p>
      <w:pPr>
        <w:ind w:firstLine="709"/>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F731公式，提示内容</w:t>
      </w:r>
      <w:r>
        <w:rPr>
          <w:rFonts w:hint="eastAsia" w:ascii="仿宋_GB2312" w:hAnsi="仿宋" w:eastAsia="仿宋_GB2312" w:cs="仿宋"/>
          <w:color w:val="000000"/>
          <w:sz w:val="32"/>
          <w:szCs w:val="32"/>
        </w:rPr>
        <w:t>一般情况下，</w:t>
      </w:r>
      <w:r>
        <w:rPr>
          <w:rFonts w:hint="eastAsia" w:ascii="仿宋_GB2312" w:hAnsi="仿宋" w:eastAsia="仿宋_GB2312" w:cs="仿宋"/>
          <w:color w:val="000000"/>
          <w:sz w:val="32"/>
          <w:szCs w:val="32"/>
          <w:lang w:val="en-US" w:eastAsia="zh-CN"/>
        </w:rPr>
        <w:t>其他社会保障缴费应有数据，保留原因是本单位为行政单位，无工伤和失业保险。</w:t>
      </w:r>
    </w:p>
    <w:p>
      <w:p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F2435公式，提示内容审核是否漏报政府采购报表，如单位本年度无政府采购，此项可不填，</w:t>
      </w:r>
      <w:r>
        <w:rPr>
          <w:rFonts w:hint="eastAsia" w:ascii="仿宋_GB2312" w:hAnsi="仿宋" w:eastAsia="仿宋_GB2312" w:cs="仿宋"/>
          <w:color w:val="000000"/>
          <w:sz w:val="32"/>
          <w:szCs w:val="32"/>
        </w:rPr>
        <w:t>保留原因是本单位本年度无政府采购支出</w:t>
      </w:r>
      <w:r>
        <w:rPr>
          <w:rFonts w:hint="eastAsia" w:ascii="仿宋_GB2312" w:hAnsi="仿宋" w:eastAsia="仿宋_GB2312" w:cs="仿宋"/>
          <w:color w:val="000000"/>
          <w:sz w:val="32"/>
          <w:szCs w:val="32"/>
          <w:lang w:eastAsia="zh-CN"/>
        </w:rPr>
        <w:t>。</w:t>
      </w:r>
    </w:p>
    <w:p>
      <w:pPr>
        <w:ind w:firstLine="709"/>
        <w:rPr>
          <w:rFonts w:hint="eastAsia" w:ascii="仿宋_GB2312" w:hAnsi="仿宋" w:eastAsia="仿宋_GB2312" w:cs="仿宋"/>
          <w:b/>
          <w:bCs/>
          <w:color w:val="000000"/>
          <w:sz w:val="32"/>
          <w:szCs w:val="32"/>
          <w:lang w:eastAsia="zh-CN"/>
        </w:rPr>
      </w:pPr>
      <w:r>
        <w:rPr>
          <w:rFonts w:hint="eastAsia" w:ascii="仿宋_GB2312" w:hAnsi="仿宋" w:eastAsia="仿宋_GB2312" w:cs="仿宋"/>
          <w:b/>
          <w:bCs/>
          <w:color w:val="000000"/>
          <w:sz w:val="32"/>
          <w:szCs w:val="32"/>
        </w:rPr>
        <w:t>2．审核模板。</w:t>
      </w:r>
    </w:p>
    <w:p>
      <w:pPr>
        <w:ind w:firstLine="70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F0-1362</w:t>
      </w:r>
      <w:r>
        <w:rPr>
          <w:rFonts w:hint="eastAsia" w:ascii="仿宋_GB2312" w:hAnsi="仿宋" w:eastAsia="仿宋_GB2312" w:cs="仿宋"/>
          <w:color w:val="000000"/>
          <w:sz w:val="32"/>
          <w:szCs w:val="32"/>
        </w:rPr>
        <w:t>公式，提示内容</w:t>
      </w:r>
      <w:r>
        <w:rPr>
          <w:rFonts w:hint="eastAsia" w:ascii="仿宋_GB2312" w:hAnsi="仿宋" w:eastAsia="仿宋_GB2312" w:cs="仿宋"/>
          <w:color w:val="000000"/>
          <w:sz w:val="32"/>
          <w:szCs w:val="32"/>
          <w:lang w:eastAsia="zh-CN"/>
        </w:rPr>
        <w:t>一般情况下，移交社保的离退休人员不应为0</w:t>
      </w:r>
      <w:r>
        <w:rPr>
          <w:rFonts w:hint="eastAsia" w:ascii="仿宋_GB2312" w:hAnsi="仿宋" w:eastAsia="仿宋_GB2312" w:cs="仿宋"/>
          <w:color w:val="000000"/>
          <w:sz w:val="32"/>
          <w:szCs w:val="32"/>
        </w:rPr>
        <w:t>，保留原因是</w:t>
      </w:r>
      <w:r>
        <w:rPr>
          <w:rFonts w:hint="eastAsia" w:ascii="仿宋_GB2312" w:hAnsi="仿宋" w:eastAsia="仿宋_GB2312" w:cs="仿宋"/>
          <w:color w:val="000000"/>
          <w:sz w:val="32"/>
          <w:szCs w:val="32"/>
          <w:lang w:eastAsia="zh-CN"/>
        </w:rPr>
        <w:t>本单位无退休人员</w:t>
      </w:r>
      <w:r>
        <w:rPr>
          <w:rFonts w:hint="eastAsia" w:ascii="仿宋_GB2312" w:hAnsi="仿宋" w:eastAsia="仿宋_GB2312" w:cs="仿宋"/>
          <w:color w:val="000000"/>
          <w:sz w:val="32"/>
          <w:szCs w:val="32"/>
        </w:rPr>
        <w:t>。</w:t>
      </w:r>
    </w:p>
    <w:p>
      <w:p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F261、F262（二条）公式，提示内容</w:t>
      </w:r>
      <w:r>
        <w:rPr>
          <w:rFonts w:hint="eastAsia" w:ascii="仿宋_GB2312" w:hAnsi="仿宋" w:eastAsia="仿宋_GB2312" w:cs="仿宋"/>
          <w:color w:val="000000"/>
          <w:sz w:val="32"/>
          <w:szCs w:val="32"/>
        </w:rPr>
        <w:t>一般情况下，支出调整预算数应大于等于决算数</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保留原因是决算数中包含其他收入对应支出，其他收入无调整预算数</w:t>
      </w:r>
      <w:r>
        <w:rPr>
          <w:rFonts w:hint="eastAsia" w:ascii="仿宋_GB2312" w:hAnsi="仿宋" w:eastAsia="仿宋_GB2312" w:cs="仿宋"/>
          <w:color w:val="000000"/>
          <w:sz w:val="32"/>
          <w:szCs w:val="32"/>
          <w:lang w:eastAsia="zh-CN"/>
        </w:rPr>
        <w:t>。</w:t>
      </w:r>
    </w:p>
    <w:p>
      <w:pPr>
        <w:ind w:firstLine="709"/>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F731公式，提示内容</w:t>
      </w:r>
      <w:r>
        <w:rPr>
          <w:rFonts w:hint="eastAsia" w:ascii="仿宋_GB2312" w:hAnsi="仿宋" w:eastAsia="仿宋_GB2312" w:cs="仿宋"/>
          <w:color w:val="000000"/>
          <w:sz w:val="32"/>
          <w:szCs w:val="32"/>
        </w:rPr>
        <w:t>一般情况下，</w:t>
      </w:r>
      <w:r>
        <w:rPr>
          <w:rFonts w:hint="eastAsia" w:ascii="仿宋_GB2312" w:hAnsi="仿宋" w:eastAsia="仿宋_GB2312" w:cs="仿宋"/>
          <w:color w:val="000000"/>
          <w:sz w:val="32"/>
          <w:szCs w:val="32"/>
          <w:lang w:val="en-US" w:eastAsia="zh-CN"/>
        </w:rPr>
        <w:t>其他社会保障缴费应有数据，保留原因是本单位为行政单位，无工伤和失业保险。</w:t>
      </w:r>
    </w:p>
    <w:p>
      <w:pPr>
        <w:ind w:firstLine="709"/>
        <w:rPr>
          <w:rFonts w:hint="eastAsia" w:ascii="仿宋_GB2312" w:hAnsi="仿宋" w:eastAsia="仿宋_GB2312" w:cs="仿宋"/>
          <w:color w:val="000000"/>
          <w:sz w:val="32"/>
          <w:szCs w:val="32"/>
          <w:lang w:eastAsia="zh-CN"/>
        </w:rPr>
      </w:pPr>
      <w:r>
        <w:rPr>
          <w:rFonts w:hint="eastAsia" w:ascii="仿宋_GB2312" w:hAnsi="仿宋" w:eastAsia="仿宋_GB2312" w:cs="仿宋"/>
          <w:color w:val="000000"/>
          <w:sz w:val="32"/>
          <w:szCs w:val="32"/>
          <w:lang w:val="en-US" w:eastAsia="zh-CN"/>
        </w:rPr>
        <w:t>F2435公式，提示内容审核是否漏报政府采购报表，如单位本年度无政府采购，此项可不填，</w:t>
      </w:r>
      <w:r>
        <w:rPr>
          <w:rFonts w:hint="eastAsia" w:ascii="仿宋_GB2312" w:hAnsi="仿宋" w:eastAsia="仿宋_GB2312" w:cs="仿宋"/>
          <w:color w:val="000000"/>
          <w:sz w:val="32"/>
          <w:szCs w:val="32"/>
        </w:rPr>
        <w:t>保留原因是本单位本年度无政府采购支出</w:t>
      </w:r>
      <w:r>
        <w:rPr>
          <w:rFonts w:hint="eastAsia" w:ascii="仿宋_GB2312" w:hAnsi="仿宋" w:eastAsia="仿宋_GB2312" w:cs="仿宋"/>
          <w:color w:val="000000"/>
          <w:sz w:val="32"/>
          <w:szCs w:val="32"/>
          <w:lang w:eastAsia="zh-CN"/>
        </w:rPr>
        <w:t>。</w:t>
      </w:r>
    </w:p>
    <w:p>
      <w:pPr>
        <w:ind w:firstLine="709"/>
        <w:rPr>
          <w:rFonts w:ascii="楷体_GB2312" w:hAnsi="Times New Roman" w:eastAsia="楷体_GB2312" w:cs="Times New Roman"/>
          <w:b/>
          <w:color w:val="auto"/>
          <w:sz w:val="32"/>
          <w:szCs w:val="32"/>
          <w:highlight w:val="none"/>
        </w:rPr>
      </w:pPr>
      <w:r>
        <w:rPr>
          <w:rFonts w:hint="eastAsia" w:ascii="楷体_GB2312" w:hAnsi="仿宋" w:eastAsia="楷体_GB2312" w:cs="仿宋"/>
          <w:b/>
          <w:color w:val="auto"/>
          <w:sz w:val="32"/>
          <w:szCs w:val="32"/>
          <w:highlight w:val="none"/>
        </w:rPr>
        <w:t>（二）对报表指标、审核公式和审核模板的设置建议。</w:t>
      </w:r>
    </w:p>
    <w:p>
      <w:pPr>
        <w:keepNext w:val="0"/>
        <w:keepLines w:val="0"/>
        <w:pageBreakBefore w:val="0"/>
        <w:widowControl w:val="0"/>
        <w:kinsoku/>
        <w:wordWrap/>
        <w:overflowPunct/>
        <w:topLinePunct w:val="0"/>
        <w:autoSpaceDE/>
        <w:autoSpaceDN/>
        <w:bidi w:val="0"/>
        <w:adjustRightInd/>
        <w:snapToGrid/>
        <w:ind w:left="0" w:firstLine="709"/>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1.对部门决算报表指标设置的建议。</w:t>
      </w:r>
    </w:p>
    <w:p>
      <w:pPr>
        <w:keepNext w:val="0"/>
        <w:keepLines w:val="0"/>
        <w:pageBreakBefore w:val="0"/>
        <w:widowControl w:val="0"/>
        <w:kinsoku/>
        <w:wordWrap/>
        <w:overflowPunct/>
        <w:topLinePunct w:val="0"/>
        <w:autoSpaceDE/>
        <w:autoSpaceDN/>
        <w:bidi w:val="0"/>
        <w:adjustRightInd/>
        <w:snapToGrid/>
        <w:ind w:left="0" w:firstLine="709"/>
        <w:textAlignment w:val="auto"/>
        <w:rPr>
          <w:rFonts w:hint="default"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val="en-US" w:eastAsia="zh-CN"/>
        </w:rPr>
        <w:t>2.</w:t>
      </w:r>
      <w:r>
        <w:rPr>
          <w:rFonts w:hint="eastAsia" w:ascii="仿宋_GB2312" w:hAnsi="仿宋" w:eastAsia="仿宋_GB2312" w:cs="仿宋"/>
          <w:color w:val="auto"/>
          <w:sz w:val="32"/>
          <w:szCs w:val="32"/>
          <w:highlight w:val="none"/>
        </w:rPr>
        <w:t>如有不适用的审核公式和模板，请列出并说明修改意见。</w:t>
      </w:r>
    </w:p>
    <w:p>
      <w:pPr>
        <w:keepNext w:val="0"/>
        <w:keepLines w:val="0"/>
        <w:pageBreakBefore w:val="0"/>
        <w:widowControl w:val="0"/>
        <w:numPr>
          <w:ilvl w:val="0"/>
          <w:numId w:val="0"/>
        </w:numPr>
        <w:kinsoku/>
        <w:wordWrap/>
        <w:overflowPunct/>
        <w:topLinePunct w:val="0"/>
        <w:autoSpaceDE/>
        <w:autoSpaceDN/>
        <w:bidi w:val="0"/>
        <w:adjustRightInd/>
        <w:snapToGrid/>
        <w:ind w:left="709" w:leftChars="0"/>
        <w:textAlignment w:val="auto"/>
        <w:rPr>
          <w:rFonts w:hint="default"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709" w:firstLineChars="0"/>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单位自行增加的审核公式和模板，请列出并说明设置依据。</w:t>
      </w:r>
    </w:p>
    <w:p>
      <w:pPr>
        <w:keepNext w:val="0"/>
        <w:keepLines w:val="0"/>
        <w:pageBreakBefore w:val="0"/>
        <w:widowControl w:val="0"/>
        <w:numPr>
          <w:ilvl w:val="0"/>
          <w:numId w:val="0"/>
        </w:numPr>
        <w:kinsoku/>
        <w:wordWrap/>
        <w:overflowPunct/>
        <w:topLinePunct w:val="0"/>
        <w:autoSpaceDE/>
        <w:autoSpaceDN/>
        <w:bidi w:val="0"/>
        <w:adjustRightInd/>
        <w:snapToGrid/>
        <w:ind w:left="709" w:leftChars="0"/>
        <w:textAlignment w:val="auto"/>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无</w:t>
      </w:r>
    </w:p>
    <w:p>
      <w:pPr>
        <w:ind w:firstLine="709"/>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五、决算数据其他需要说明的情况</w:t>
      </w:r>
    </w:p>
    <w:p>
      <w:pPr>
        <w:ind w:firstLine="70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w:t>
      </w:r>
      <w:r>
        <w:rPr>
          <w:rFonts w:hint="eastAsia" w:ascii="仿宋_GB2312" w:hAnsi="仿宋" w:eastAsia="仿宋_GB2312" w:cs="仿宋"/>
          <w:color w:val="000000"/>
          <w:sz w:val="32"/>
          <w:szCs w:val="32"/>
        </w:rPr>
        <w:t>“收入决算表”中</w:t>
      </w:r>
      <w:r>
        <w:rPr>
          <w:rFonts w:hint="eastAsia" w:ascii="仿宋_GB2312" w:hAnsi="仿宋" w:eastAsia="仿宋_GB2312" w:cs="仿宋"/>
          <w:color w:val="000000"/>
          <w:spacing w:val="6"/>
          <w:sz w:val="32"/>
          <w:szCs w:val="32"/>
        </w:rPr>
        <w:t>其他收入</w:t>
      </w:r>
      <w:r>
        <w:rPr>
          <w:rFonts w:hint="eastAsia" w:ascii="仿宋_GB2312" w:hAnsi="仿宋" w:eastAsia="仿宋_GB2312" w:cs="仿宋"/>
          <w:color w:val="000000"/>
          <w:spacing w:val="6"/>
          <w:sz w:val="32"/>
          <w:szCs w:val="32"/>
          <w:lang w:val="en-US" w:eastAsia="zh-CN"/>
        </w:rPr>
        <w:t>7104.29元，为利息收入和疫情防控捐赠收入</w:t>
      </w:r>
      <w:r>
        <w:rPr>
          <w:rFonts w:hint="eastAsia" w:ascii="仿宋_GB2312" w:hAnsi="仿宋" w:eastAsia="仿宋_GB2312" w:cs="仿宋"/>
          <w:color w:val="000000"/>
          <w:sz w:val="32"/>
          <w:szCs w:val="32"/>
        </w:rPr>
        <w:t>。</w:t>
      </w:r>
    </w:p>
    <w:p>
      <w:pPr>
        <w:ind w:firstLine="709"/>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val="en-US" w:eastAsia="zh-CN"/>
        </w:rPr>
        <w:t>2</w:t>
      </w:r>
      <w:r>
        <w:rPr>
          <w:rFonts w:hint="eastAsia" w:ascii="仿宋_GB2312" w:hAnsi="仿宋" w:eastAsia="仿宋_GB2312" w:cs="仿宋"/>
          <w:color w:val="auto"/>
          <w:sz w:val="32"/>
          <w:szCs w:val="32"/>
          <w:highlight w:val="none"/>
        </w:rPr>
        <w:t>.</w:t>
      </w:r>
      <w:r>
        <w:rPr>
          <w:rFonts w:hint="eastAsia" w:ascii="仿宋_GB2312" w:hAnsi="仿宋" w:eastAsia="仿宋_GB2312" w:cs="仿宋"/>
          <w:color w:val="000000"/>
          <w:sz w:val="32"/>
          <w:szCs w:val="32"/>
        </w:rPr>
        <w:t>年末结转和结余为</w:t>
      </w:r>
      <w:r>
        <w:rPr>
          <w:rFonts w:hint="eastAsia" w:ascii="仿宋_GB2312" w:hAnsi="仿宋" w:eastAsia="仿宋_GB2312" w:cs="仿宋"/>
          <w:color w:val="000000"/>
          <w:sz w:val="32"/>
          <w:szCs w:val="32"/>
          <w:lang w:val="en-US" w:eastAsia="zh-CN"/>
        </w:rPr>
        <w:t>0元</w:t>
      </w:r>
      <w:r>
        <w:rPr>
          <w:rFonts w:hint="eastAsia" w:ascii="仿宋_GB2312" w:hAnsi="仿宋" w:eastAsia="仿宋_GB2312" w:cs="仿宋"/>
          <w:color w:val="000000"/>
          <w:sz w:val="32"/>
          <w:szCs w:val="32"/>
        </w:rPr>
        <w:t>。</w:t>
      </w:r>
    </w:p>
    <w:p>
      <w:pPr>
        <w:ind w:firstLine="709"/>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3</w:t>
      </w:r>
      <w:r>
        <w:rPr>
          <w:rFonts w:hint="eastAsia" w:ascii="仿宋_GB2312" w:hAnsi="仿宋" w:eastAsia="仿宋_GB2312" w:cs="仿宋"/>
          <w:color w:val="000000"/>
          <w:sz w:val="32"/>
          <w:szCs w:val="32"/>
        </w:rPr>
        <w:t>．</w:t>
      </w:r>
      <w:r>
        <w:rPr>
          <w:rFonts w:hint="eastAsia" w:ascii="仿宋_GB2312" w:hAnsi="仿宋" w:eastAsia="仿宋_GB2312" w:cs="仿宋"/>
          <w:bCs/>
          <w:color w:val="auto"/>
          <w:sz w:val="32"/>
          <w:szCs w:val="32"/>
        </w:rPr>
        <w:t>政府采购</w:t>
      </w:r>
      <w:r>
        <w:rPr>
          <w:rFonts w:hint="eastAsia" w:ascii="仿宋_GB2312" w:hAnsi="仿宋" w:eastAsia="仿宋_GB2312" w:cs="仿宋"/>
          <w:bCs/>
          <w:color w:val="auto"/>
          <w:sz w:val="32"/>
          <w:szCs w:val="32"/>
          <w:lang w:eastAsia="zh-CN"/>
        </w:rPr>
        <w:t>货物支出</w:t>
      </w:r>
      <w:r>
        <w:rPr>
          <w:rFonts w:hint="eastAsia" w:ascii="仿宋_GB2312" w:hAnsi="仿宋" w:eastAsia="仿宋_GB2312" w:cs="仿宋"/>
          <w:bCs/>
          <w:color w:val="auto"/>
          <w:sz w:val="32"/>
          <w:szCs w:val="32"/>
          <w:lang w:val="en-US" w:eastAsia="zh-CN"/>
        </w:rPr>
        <w:t>0元，项目支出4309897.25元。</w:t>
      </w:r>
    </w:p>
    <w:p>
      <w:pPr>
        <w:ind w:firstLine="709"/>
        <w:rPr>
          <w:rFonts w:hint="default" w:ascii="仿宋_GB2312" w:hAnsi="仿宋_GB2312" w:eastAsia="仿宋_GB2312" w:cs="仿宋_GB2312"/>
          <w:color w:val="FF0000"/>
          <w:sz w:val="32"/>
          <w:szCs w:val="32"/>
          <w:lang w:val="en-US" w:eastAsia="zh-CN"/>
        </w:rPr>
      </w:pPr>
      <w:r>
        <w:rPr>
          <w:rFonts w:hint="eastAsia" w:ascii="仿宋_GB2312" w:hAnsi="仿宋" w:eastAsia="仿宋_GB2312" w:cs="仿宋"/>
          <w:color w:val="000000"/>
          <w:sz w:val="32"/>
          <w:szCs w:val="32"/>
          <w:lang w:val="en-US" w:eastAsia="zh-CN"/>
        </w:rPr>
        <w:t>4</w:t>
      </w:r>
      <w:r>
        <w:rPr>
          <w:rFonts w:hint="eastAsia" w:ascii="仿宋_GB2312" w:hAnsi="仿宋" w:eastAsia="仿宋_GB2312" w:cs="仿宋"/>
          <w:color w:val="000000"/>
          <w:sz w:val="32"/>
          <w:szCs w:val="32"/>
        </w:rPr>
        <w:t>.</w:t>
      </w:r>
      <w:r>
        <w:rPr>
          <w:rFonts w:hint="eastAsia" w:ascii="仿宋_GB2312" w:hAnsi="仿宋" w:eastAsia="仿宋_GB2312" w:cs="仿宋"/>
          <w:bCs/>
          <w:color w:val="000000"/>
          <w:sz w:val="32"/>
          <w:szCs w:val="32"/>
          <w:highlight w:val="none"/>
          <w:lang w:eastAsia="zh-CN"/>
        </w:rPr>
        <w:t>收入支出</w:t>
      </w:r>
      <w:r>
        <w:rPr>
          <w:rFonts w:hint="eastAsia" w:ascii="仿宋_GB2312" w:hAnsi="仿宋" w:eastAsia="仿宋_GB2312" w:cs="仿宋"/>
          <w:bCs/>
          <w:color w:val="000000"/>
          <w:sz w:val="32"/>
          <w:szCs w:val="32"/>
          <w:highlight w:val="none"/>
        </w:rPr>
        <w:t>调整预算数大于年初预算数，</w:t>
      </w:r>
      <w:r>
        <w:rPr>
          <w:rFonts w:hint="eastAsia" w:ascii="仿宋_GB2312" w:hAnsi="仿宋" w:eastAsia="仿宋_GB2312" w:cs="仿宋"/>
          <w:bCs/>
          <w:color w:val="000000"/>
          <w:sz w:val="32"/>
          <w:szCs w:val="32"/>
          <w:highlight w:val="none"/>
          <w:lang w:eastAsia="zh-CN"/>
        </w:rPr>
        <w:t>因本年度</w:t>
      </w:r>
      <w:r>
        <w:rPr>
          <w:rFonts w:hint="eastAsia" w:ascii="仿宋_GB2312" w:hAnsi="仿宋" w:eastAsia="仿宋_GB2312" w:cs="仿宋"/>
          <w:bCs/>
          <w:color w:val="000000"/>
          <w:sz w:val="32"/>
          <w:szCs w:val="32"/>
          <w:highlight w:val="none"/>
          <w:lang w:val="en-US" w:eastAsia="zh-CN"/>
        </w:rPr>
        <w:t>追加预算。</w:t>
      </w:r>
    </w:p>
    <w:p>
      <w:pPr>
        <w:ind w:firstLine="709"/>
        <w:rPr>
          <w:rFonts w:hint="default" w:ascii="仿宋_GB2312" w:hAnsi="仿宋" w:eastAsia="仿宋_GB2312" w:cs="仿宋"/>
          <w:color w:val="000000"/>
          <w:sz w:val="32"/>
          <w:szCs w:val="32"/>
          <w:lang w:val="en-US"/>
        </w:rPr>
      </w:pPr>
      <w:r>
        <w:rPr>
          <w:rFonts w:hint="eastAsia" w:ascii="仿宋_GB2312" w:hAnsi="仿宋" w:eastAsia="仿宋_GB2312" w:cs="仿宋"/>
          <w:bCs/>
          <w:color w:val="000000"/>
          <w:sz w:val="32"/>
          <w:szCs w:val="32"/>
          <w:lang w:val="en-US" w:eastAsia="zh-CN"/>
        </w:rPr>
        <w:t>5</w:t>
      </w:r>
      <w:r>
        <w:rPr>
          <w:rFonts w:hint="eastAsia" w:ascii="仿宋_GB2312" w:hAnsi="仿宋" w:eastAsia="仿宋_GB2312" w:cs="仿宋"/>
          <w:bCs/>
          <w:color w:val="000000"/>
          <w:sz w:val="32"/>
          <w:szCs w:val="32"/>
        </w:rPr>
        <w:t>.</w:t>
      </w:r>
      <w:r>
        <w:rPr>
          <w:rFonts w:hint="eastAsia" w:ascii="仿宋_GB2312" w:hAnsi="仿宋" w:eastAsia="仿宋_GB2312" w:cs="仿宋"/>
          <w:bCs/>
          <w:color w:val="000000"/>
          <w:sz w:val="32"/>
          <w:szCs w:val="32"/>
          <w:highlight w:val="none"/>
          <w:lang w:eastAsia="zh-CN"/>
        </w:rPr>
        <w:t>本年度支出合计</w:t>
      </w:r>
      <w:r>
        <w:rPr>
          <w:rFonts w:hint="eastAsia" w:ascii="仿宋_GB2312" w:hAnsi="仿宋" w:eastAsia="仿宋_GB2312" w:cs="仿宋"/>
          <w:bCs/>
          <w:color w:val="000000"/>
          <w:sz w:val="32"/>
          <w:szCs w:val="32"/>
          <w:highlight w:val="none"/>
          <w:lang w:val="en-US" w:eastAsia="zh-CN"/>
        </w:rPr>
        <w:t>7283504.32元，基本支出为7198010.12元，其中基本工资169564.63元，津贴补贴203448元，职工基本医疗保险缴费15039元，住房公积金28644元，办公费13569元，其他交通费用28200元，生活补助6000元，对个人和家庭的补助6000元，印刷费19940元，咨询费1000元，手续费275元，电费32065元，邮电费4558元，差旅费3022元，劳务费2362788.24元；资本性支出4309897.25元（专用设备购置3200000元，大型修缮65897.25元，信息网络及软件购置594000元，其他资本性支出450000元）。</w:t>
      </w:r>
    </w:p>
    <w:p>
      <w:pPr>
        <w:ind w:firstLine="709"/>
        <w:rPr>
          <w:rFonts w:hint="eastAsia" w:ascii="仿宋_GB2312" w:hAnsi="仿宋" w:eastAsia="仿宋_GB2312" w:cs="仿宋"/>
          <w:color w:val="000000"/>
          <w:sz w:val="32"/>
          <w:szCs w:val="32"/>
        </w:rPr>
      </w:pPr>
    </w:p>
    <w:p/>
    <w:p>
      <w:pPr>
        <w:bidi w:val="0"/>
        <w:rPr>
          <w:rFonts w:ascii="Calibri" w:hAnsi="Calibri" w:eastAsia="宋体" w:cs="Calibri"/>
          <w:kern w:val="2"/>
          <w:sz w:val="21"/>
          <w:szCs w:val="21"/>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954"/>
        </w:tabs>
        <w:bidi w:val="0"/>
        <w:jc w:val="left"/>
        <w:rPr>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4</w:t>
    </w:r>
    <w:r>
      <w:rPr>
        <w:rFonts w:ascii="Arial" w:hAnsi="Arial" w:cs="Arial"/>
        <w:sz w:val="24"/>
        <w:szCs w:val="24"/>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837AE"/>
    <w:multiLevelType w:val="singleLevel"/>
    <w:tmpl w:val="7FC837A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3"/>
    <w:rsid w:val="000A1A07"/>
    <w:rsid w:val="001A527B"/>
    <w:rsid w:val="002C0140"/>
    <w:rsid w:val="002C6963"/>
    <w:rsid w:val="003877C3"/>
    <w:rsid w:val="00522486"/>
    <w:rsid w:val="005502D5"/>
    <w:rsid w:val="00576055"/>
    <w:rsid w:val="00601750"/>
    <w:rsid w:val="006210EA"/>
    <w:rsid w:val="006231DE"/>
    <w:rsid w:val="0068308D"/>
    <w:rsid w:val="006B17A2"/>
    <w:rsid w:val="007329D4"/>
    <w:rsid w:val="00760F51"/>
    <w:rsid w:val="007C00B5"/>
    <w:rsid w:val="00822C60"/>
    <w:rsid w:val="008B4CF8"/>
    <w:rsid w:val="008D1A61"/>
    <w:rsid w:val="008E5B2B"/>
    <w:rsid w:val="009E77A1"/>
    <w:rsid w:val="00AF40A1"/>
    <w:rsid w:val="00BB0B4D"/>
    <w:rsid w:val="00BD6CD3"/>
    <w:rsid w:val="00D6432C"/>
    <w:rsid w:val="00DA1F66"/>
    <w:rsid w:val="00DA4E30"/>
    <w:rsid w:val="00E1090A"/>
    <w:rsid w:val="00E329F1"/>
    <w:rsid w:val="00E8609C"/>
    <w:rsid w:val="00EB18AC"/>
    <w:rsid w:val="00EE0CEF"/>
    <w:rsid w:val="00FC360F"/>
    <w:rsid w:val="00FE6666"/>
    <w:rsid w:val="035758AB"/>
    <w:rsid w:val="0A627DD9"/>
    <w:rsid w:val="0CD16BBF"/>
    <w:rsid w:val="0E583EDE"/>
    <w:rsid w:val="0E5F15F8"/>
    <w:rsid w:val="0E8D72FF"/>
    <w:rsid w:val="109D1122"/>
    <w:rsid w:val="10F14693"/>
    <w:rsid w:val="114548AD"/>
    <w:rsid w:val="11D51D34"/>
    <w:rsid w:val="12863EF6"/>
    <w:rsid w:val="13357F8C"/>
    <w:rsid w:val="139376DF"/>
    <w:rsid w:val="13F80DAC"/>
    <w:rsid w:val="17784E74"/>
    <w:rsid w:val="183C0600"/>
    <w:rsid w:val="1A757130"/>
    <w:rsid w:val="1CF93336"/>
    <w:rsid w:val="1D0F1447"/>
    <w:rsid w:val="1D165911"/>
    <w:rsid w:val="1D9A1652"/>
    <w:rsid w:val="203B24EB"/>
    <w:rsid w:val="20E078DD"/>
    <w:rsid w:val="224C2753"/>
    <w:rsid w:val="22657E82"/>
    <w:rsid w:val="242C2580"/>
    <w:rsid w:val="24790FA9"/>
    <w:rsid w:val="25A233A7"/>
    <w:rsid w:val="264B689D"/>
    <w:rsid w:val="266D39B5"/>
    <w:rsid w:val="27152366"/>
    <w:rsid w:val="277E25E3"/>
    <w:rsid w:val="279F06D3"/>
    <w:rsid w:val="2C025073"/>
    <w:rsid w:val="2C2325F5"/>
    <w:rsid w:val="2C4227BF"/>
    <w:rsid w:val="2E8367D4"/>
    <w:rsid w:val="30A047F9"/>
    <w:rsid w:val="30B46572"/>
    <w:rsid w:val="310E5883"/>
    <w:rsid w:val="31586C05"/>
    <w:rsid w:val="34D963E2"/>
    <w:rsid w:val="35BD5D3A"/>
    <w:rsid w:val="38007442"/>
    <w:rsid w:val="3AAE3851"/>
    <w:rsid w:val="3C1D4C37"/>
    <w:rsid w:val="3FA51DC8"/>
    <w:rsid w:val="41991A4B"/>
    <w:rsid w:val="42A33A00"/>
    <w:rsid w:val="45844C17"/>
    <w:rsid w:val="463D55E8"/>
    <w:rsid w:val="4912364B"/>
    <w:rsid w:val="49201FD2"/>
    <w:rsid w:val="4BA312B6"/>
    <w:rsid w:val="4EE429A3"/>
    <w:rsid w:val="53F362D8"/>
    <w:rsid w:val="54013491"/>
    <w:rsid w:val="55592562"/>
    <w:rsid w:val="556C7ECE"/>
    <w:rsid w:val="59A02E3A"/>
    <w:rsid w:val="5D521C1E"/>
    <w:rsid w:val="5E6F6AE0"/>
    <w:rsid w:val="5EC411EF"/>
    <w:rsid w:val="5FA67D6E"/>
    <w:rsid w:val="5FE378E6"/>
    <w:rsid w:val="61F3655D"/>
    <w:rsid w:val="6549238C"/>
    <w:rsid w:val="676B5D31"/>
    <w:rsid w:val="684F661F"/>
    <w:rsid w:val="69CA0A92"/>
    <w:rsid w:val="6A8D4099"/>
    <w:rsid w:val="702A2B20"/>
    <w:rsid w:val="74854FAA"/>
    <w:rsid w:val="75B56F33"/>
    <w:rsid w:val="765724D8"/>
    <w:rsid w:val="77494722"/>
    <w:rsid w:val="786A5E6E"/>
    <w:rsid w:val="790F6562"/>
    <w:rsid w:val="7DC643A2"/>
    <w:rsid w:val="7F067E34"/>
    <w:rsid w:val="7F950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rFonts w:cs="Times New Roman"/>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character" w:styleId="7">
    <w:name w:val="FollowedHyperlink"/>
    <w:semiHidden/>
    <w:qFormat/>
    <w:uiPriority w:val="99"/>
    <w:rPr>
      <w:color w:val="800080"/>
      <w:u w:val="single"/>
    </w:rPr>
  </w:style>
  <w:style w:type="character" w:styleId="8">
    <w:name w:val="Hyperlink"/>
    <w:semiHidden/>
    <w:qFormat/>
    <w:uiPriority w:val="99"/>
    <w:rPr>
      <w:color w:val="0000FF"/>
      <w:u w:val="single"/>
    </w:rPr>
  </w:style>
  <w:style w:type="character" w:customStyle="1" w:styleId="9">
    <w:name w:val="页脚 Char"/>
    <w:basedOn w:val="6"/>
    <w:semiHidden/>
    <w:qFormat/>
    <w:uiPriority w:val="99"/>
    <w:rPr>
      <w:rFonts w:ascii="Calibri" w:hAnsi="Calibri" w:eastAsia="宋体" w:cs="Calibri"/>
      <w:sz w:val="18"/>
      <w:szCs w:val="18"/>
    </w:rPr>
  </w:style>
  <w:style w:type="character" w:customStyle="1" w:styleId="10">
    <w:name w:val="页脚 Char1"/>
    <w:link w:val="3"/>
    <w:qFormat/>
    <w:locked/>
    <w:uiPriority w:val="99"/>
    <w:rPr>
      <w:rFonts w:ascii="Times New Roman" w:hAnsi="Times New Roman" w:eastAsia="宋体" w:cs="Times New Roman"/>
      <w:kern w:val="0"/>
      <w:sz w:val="18"/>
      <w:szCs w:val="18"/>
    </w:rPr>
  </w:style>
  <w:style w:type="character" w:customStyle="1" w:styleId="11">
    <w:name w:val="页眉 Char"/>
    <w:basedOn w:val="6"/>
    <w:semiHidden/>
    <w:qFormat/>
    <w:uiPriority w:val="99"/>
    <w:rPr>
      <w:rFonts w:ascii="Calibri" w:hAnsi="Calibri" w:eastAsia="宋体" w:cs="Calibri"/>
      <w:sz w:val="18"/>
      <w:szCs w:val="18"/>
    </w:rPr>
  </w:style>
  <w:style w:type="character" w:customStyle="1" w:styleId="12">
    <w:name w:val="页眉 Char1"/>
    <w:link w:val="4"/>
    <w:qFormat/>
    <w:locked/>
    <w:uiPriority w:val="99"/>
    <w:rPr>
      <w:rFonts w:ascii="Times New Roman" w:hAnsi="Times New Roman" w:eastAsia="宋体" w:cs="Times New Roman"/>
      <w:kern w:val="0"/>
      <w:sz w:val="18"/>
      <w:szCs w:val="18"/>
    </w:rPr>
  </w:style>
  <w:style w:type="character" w:customStyle="1" w:styleId="13">
    <w:name w:val="apple-converted-space"/>
    <w:basedOn w:val="6"/>
    <w:qFormat/>
    <w:uiPriority w:val="99"/>
  </w:style>
  <w:style w:type="character" w:customStyle="1" w:styleId="14">
    <w:name w:val="批注框文本 Char"/>
    <w:basedOn w:val="6"/>
    <w:semiHidden/>
    <w:qFormat/>
    <w:uiPriority w:val="99"/>
    <w:rPr>
      <w:rFonts w:ascii="Calibri" w:hAnsi="Calibri" w:eastAsia="宋体" w:cs="Calibri"/>
      <w:sz w:val="18"/>
      <w:szCs w:val="18"/>
    </w:rPr>
  </w:style>
  <w:style w:type="character" w:customStyle="1" w:styleId="15">
    <w:name w:val="批注框文本 Char1"/>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249</Words>
  <Characters>1421</Characters>
  <Lines>11</Lines>
  <Paragraphs>3</Paragraphs>
  <TotalTime>3</TotalTime>
  <ScaleCrop>false</ScaleCrop>
  <LinksUpToDate>false</LinksUpToDate>
  <CharactersWithSpaces>1667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2018-09-18T01:13:00Z</dcterms:created>
  <dc:creator>闻吉</dc:creator>
  <cp:lastModifiedBy>zsz</cp:lastModifiedBy>
  <dcterms:modified xsi:type="dcterms:W3CDTF">2021-01-14T08:30:24Z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