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3" w:line="285" w:lineRule="auto"/>
        <w:jc w:val="center"/>
        <w:rPr>
          <w:rFonts w:hint="default" w:ascii="黑体" w:hAnsi="黑体" w:eastAsia="黑体" w:cs="黑体"/>
          <w:b/>
          <w:bCs/>
          <w:spacing w:val="-20"/>
          <w:sz w:val="56"/>
          <w:szCs w:val="56"/>
          <w:lang w:val="en-US" w:eastAsia="zh-CN"/>
        </w:rPr>
      </w:pPr>
      <w:bookmarkStart w:id="0" w:name="_Toc9450_WPSOffice_Type2"/>
      <w:r>
        <w:rPr>
          <w:rFonts w:hint="eastAsia" w:ascii="黑体" w:hAnsi="黑体" w:eastAsia="黑体" w:cs="黑体"/>
          <w:b/>
          <w:bCs/>
          <w:spacing w:val="-20"/>
          <w:sz w:val="56"/>
          <w:szCs w:val="56"/>
          <w:lang w:val="en-US" w:eastAsia="zh-CN"/>
        </w:rPr>
        <w:t>综合行政执法局2021年度部门决算</w:t>
      </w:r>
    </w:p>
    <w:p>
      <w:pPr>
        <w:spacing w:before="0" w:beforeLines="0" w:after="0" w:afterLines="0" w:line="240" w:lineRule="auto"/>
        <w:ind w:left="0" w:leftChars="0" w:right="0" w:rightChars="0" w:firstLine="0" w:firstLineChars="0"/>
        <w:jc w:val="both"/>
        <w:rPr>
          <w:rFonts w:hint="eastAsia" w:ascii="宋体" w:hAnsi="宋体" w:eastAsia="宋体" w:cs="宋体"/>
          <w:sz w:val="44"/>
          <w:szCs w:val="44"/>
        </w:rPr>
      </w:pPr>
    </w:p>
    <w:p>
      <w:pPr>
        <w:spacing w:before="0" w:beforeLines="0" w:after="0" w:afterLines="0" w:line="240" w:lineRule="auto"/>
        <w:ind w:left="0" w:leftChars="0" w:right="0" w:rightChars="0" w:firstLine="0" w:firstLineChars="0"/>
        <w:jc w:val="center"/>
        <w:rPr>
          <w:rFonts w:hint="eastAsia" w:ascii="宋体" w:hAnsi="宋体" w:eastAsia="宋体" w:cs="宋体"/>
          <w:sz w:val="44"/>
          <w:szCs w:val="44"/>
        </w:rPr>
      </w:pPr>
      <w:r>
        <w:rPr>
          <w:rFonts w:hint="eastAsia" w:ascii="宋体" w:hAnsi="宋体" w:eastAsia="宋体" w:cs="宋体"/>
          <w:sz w:val="44"/>
          <w:szCs w:val="44"/>
        </w:rPr>
        <w:t>目录</w:t>
      </w:r>
    </w:p>
    <w:p>
      <w:pPr>
        <w:spacing w:before="0" w:beforeLines="0" w:after="0" w:afterLines="0" w:line="240" w:lineRule="auto"/>
        <w:ind w:left="0" w:leftChars="0" w:right="0" w:rightChars="0" w:firstLine="0" w:firstLineChars="0"/>
        <w:jc w:val="center"/>
        <w:rPr>
          <w:rFonts w:hint="eastAsia" w:ascii="宋体" w:hAnsi="宋体" w:eastAsia="宋体" w:cs="宋体"/>
          <w:sz w:val="44"/>
          <w:szCs w:val="44"/>
        </w:rPr>
      </w:pPr>
    </w:p>
    <w:p>
      <w:pPr>
        <w:pStyle w:val="4"/>
        <w:keepNext w:val="0"/>
        <w:keepLines w:val="0"/>
        <w:pageBreakBefore w:val="0"/>
        <w:widowControl/>
        <w:tabs>
          <w:tab w:val="right" w:leader="dot" w:pos="9230"/>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32"/>
          <w:szCs w:val="32"/>
        </w:rPr>
      </w:pPr>
      <w:r>
        <w:rPr>
          <w:rFonts w:hint="eastAsia" w:ascii="宋体" w:hAnsi="宋体" w:eastAsia="宋体" w:cs="宋体"/>
          <w:b/>
          <w:bCs/>
          <w:sz w:val="32"/>
          <w:szCs w:val="32"/>
        </w:rPr>
        <w:fldChar w:fldCharType="begin"/>
      </w:r>
      <w:r>
        <w:rPr>
          <w:rFonts w:hint="eastAsia" w:ascii="宋体" w:hAnsi="宋体" w:eastAsia="宋体" w:cs="宋体"/>
          <w:sz w:val="32"/>
          <w:szCs w:val="32"/>
        </w:rPr>
        <w:instrText xml:space="preserve"> HYPERLINK \l _Toc27194_WPSOffice_Level1 </w:instrText>
      </w:r>
      <w:r>
        <w:rPr>
          <w:rFonts w:hint="eastAsia" w:ascii="宋体" w:hAnsi="宋体" w:eastAsia="宋体" w:cs="宋体"/>
          <w:b/>
          <w:bCs/>
          <w:sz w:val="32"/>
          <w:szCs w:val="32"/>
        </w:rPr>
        <w:fldChar w:fldCharType="separate"/>
      </w:r>
      <w:r>
        <w:rPr>
          <w:rFonts w:hint="eastAsia" w:ascii="宋体" w:hAnsi="宋体" w:eastAsia="宋体" w:cs="宋体"/>
          <w:b/>
          <w:bCs/>
          <w:sz w:val="32"/>
          <w:szCs w:val="32"/>
        </w:rPr>
        <w:t>第一部分 概况</w:t>
      </w:r>
      <w:r>
        <w:rPr>
          <w:rFonts w:hint="eastAsia" w:ascii="宋体" w:hAnsi="宋体" w:eastAsia="宋体" w:cs="宋体"/>
          <w:b/>
          <w:bCs/>
          <w:sz w:val="32"/>
          <w:szCs w:val="32"/>
        </w:rPr>
        <w:fldChar w:fldCharType="end"/>
      </w:r>
    </w:p>
    <w:p>
      <w:pPr>
        <w:pStyle w:val="5"/>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_Toc2696_WPSOffice_Level2 </w:instrText>
      </w:r>
      <w:r>
        <w:rPr>
          <w:rFonts w:hint="eastAsia" w:ascii="宋体" w:hAnsi="宋体" w:eastAsia="宋体" w:cs="宋体"/>
          <w:sz w:val="32"/>
          <w:szCs w:val="32"/>
        </w:rPr>
        <w:fldChar w:fldCharType="separate"/>
      </w:r>
      <w:r>
        <w:rPr>
          <w:rFonts w:hint="eastAsia" w:ascii="宋体" w:hAnsi="宋体" w:eastAsia="宋体" w:cs="宋体"/>
          <w:sz w:val="32"/>
          <w:szCs w:val="32"/>
        </w:rPr>
        <w:t>一</w:t>
      </w:r>
      <w:r>
        <w:rPr>
          <w:rFonts w:hint="eastAsia" w:ascii="宋体" w:hAnsi="宋体" w:eastAsia="宋体" w:cs="宋体"/>
          <w:sz w:val="32"/>
          <w:szCs w:val="32"/>
          <w:lang w:eastAsia="zh-CN"/>
        </w:rPr>
        <w:t>、</w:t>
      </w:r>
      <w:r>
        <w:rPr>
          <w:rFonts w:hint="eastAsia" w:ascii="宋体" w:hAnsi="宋体" w:eastAsia="宋体" w:cs="宋体"/>
          <w:sz w:val="32"/>
          <w:szCs w:val="32"/>
        </w:rPr>
        <w:t>主要职能</w:t>
      </w:r>
      <w:r>
        <w:rPr>
          <w:rFonts w:hint="eastAsia" w:ascii="宋体" w:hAnsi="宋体" w:eastAsia="宋体" w:cs="宋体"/>
          <w:sz w:val="32"/>
          <w:szCs w:val="32"/>
        </w:rPr>
        <w:fldChar w:fldCharType="end"/>
      </w:r>
    </w:p>
    <w:p>
      <w:pPr>
        <w:pStyle w:val="5"/>
        <w:keepNext w:val="0"/>
        <w:keepLines w:val="0"/>
        <w:pageBreakBefore w:val="0"/>
        <w:widowControl/>
        <w:tabs>
          <w:tab w:val="right" w:leader="dot" w:pos="9230"/>
        </w:tabs>
        <w:kinsoku/>
        <w:wordWrap/>
        <w:overflowPunct/>
        <w:topLinePunct w:val="0"/>
        <w:autoSpaceDE/>
        <w:autoSpaceDN/>
        <w:bidi w:val="0"/>
        <w:adjustRightInd/>
        <w:snapToGrid/>
        <w:spacing w:line="480" w:lineRule="auto"/>
        <w:ind w:left="0" w:leftChars="0" w:firstLine="0" w:firstLineChars="0"/>
        <w:textAlignment w:val="auto"/>
        <w:outlineLvl w:val="9"/>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_Toc22881_WPSOffice_Level2 </w:instrText>
      </w:r>
      <w:r>
        <w:rPr>
          <w:rFonts w:hint="eastAsia" w:ascii="宋体" w:hAnsi="宋体" w:eastAsia="宋体" w:cs="宋体"/>
          <w:sz w:val="32"/>
          <w:szCs w:val="32"/>
        </w:rPr>
        <w:fldChar w:fldCharType="separate"/>
      </w:r>
      <w:r>
        <w:rPr>
          <w:rFonts w:hint="eastAsia" w:ascii="宋体" w:hAnsi="宋体" w:eastAsia="宋体" w:cs="宋体"/>
          <w:sz w:val="32"/>
          <w:szCs w:val="32"/>
        </w:rPr>
        <w:t>二</w:t>
      </w:r>
      <w:r>
        <w:rPr>
          <w:rFonts w:hint="eastAsia" w:ascii="宋体" w:hAnsi="宋体" w:eastAsia="宋体" w:cs="宋体"/>
          <w:sz w:val="32"/>
          <w:szCs w:val="32"/>
          <w:lang w:eastAsia="zh-CN"/>
        </w:rPr>
        <w:t>、</w:t>
      </w:r>
      <w:r>
        <w:rPr>
          <w:rFonts w:hint="eastAsia" w:ascii="宋体" w:hAnsi="宋体" w:eastAsia="宋体" w:cs="宋体"/>
          <w:sz w:val="32"/>
          <w:szCs w:val="32"/>
        </w:rPr>
        <w:t>机构设置情况</w:t>
      </w:r>
      <w:r>
        <w:rPr>
          <w:rFonts w:hint="eastAsia" w:ascii="宋体" w:hAnsi="宋体" w:eastAsia="宋体" w:cs="宋体"/>
          <w:sz w:val="32"/>
          <w:szCs w:val="32"/>
        </w:rPr>
        <w:fldChar w:fldCharType="end"/>
      </w:r>
    </w:p>
    <w:p>
      <w:pPr>
        <w:pStyle w:val="4"/>
        <w:keepNext w:val="0"/>
        <w:keepLines w:val="0"/>
        <w:pageBreakBefore w:val="0"/>
        <w:widowControl/>
        <w:tabs>
          <w:tab w:val="right" w:leader="dot" w:pos="9230"/>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fldChar w:fldCharType="begin"/>
      </w:r>
      <w:r>
        <w:rPr>
          <w:rFonts w:hint="eastAsia" w:ascii="宋体" w:hAnsi="宋体" w:eastAsia="宋体" w:cs="宋体"/>
          <w:b/>
          <w:bCs/>
          <w:sz w:val="32"/>
          <w:szCs w:val="32"/>
        </w:rPr>
        <w:instrText xml:space="preserve"> HYPERLINK \l _Toc12665_WPSOffice_Level1 </w:instrText>
      </w:r>
      <w:r>
        <w:rPr>
          <w:rFonts w:hint="eastAsia" w:ascii="宋体" w:hAnsi="宋体" w:eastAsia="宋体" w:cs="宋体"/>
          <w:b/>
          <w:bCs/>
          <w:sz w:val="32"/>
          <w:szCs w:val="32"/>
        </w:rPr>
        <w:fldChar w:fldCharType="separate"/>
      </w:r>
      <w:r>
        <w:rPr>
          <w:rFonts w:hint="eastAsia" w:ascii="宋体" w:hAnsi="宋体" w:eastAsia="宋体" w:cs="宋体"/>
          <w:b/>
          <w:bCs/>
          <w:sz w:val="32"/>
          <w:szCs w:val="32"/>
        </w:rPr>
        <w:t xml:space="preserve">第二部门  </w:t>
      </w:r>
      <w:r>
        <w:rPr>
          <w:rFonts w:hint="eastAsia" w:ascii="宋体" w:hAnsi="宋体" w:eastAsia="宋体" w:cs="宋体"/>
          <w:b/>
          <w:bCs/>
          <w:sz w:val="32"/>
          <w:szCs w:val="32"/>
          <w:lang w:eastAsia="zh-CN"/>
        </w:rPr>
        <w:t>202</w:t>
      </w:r>
      <w:r>
        <w:rPr>
          <w:rFonts w:hint="eastAsia" w:ascii="宋体" w:hAnsi="宋体" w:cs="宋体"/>
          <w:b/>
          <w:bCs/>
          <w:sz w:val="32"/>
          <w:szCs w:val="32"/>
          <w:lang w:val="en-US" w:eastAsia="zh-CN"/>
        </w:rPr>
        <w:t>1</w:t>
      </w:r>
      <w:r>
        <w:rPr>
          <w:rFonts w:hint="eastAsia" w:ascii="宋体" w:hAnsi="宋体" w:eastAsia="宋体" w:cs="宋体"/>
          <w:b/>
          <w:bCs/>
          <w:sz w:val="32"/>
          <w:szCs w:val="32"/>
        </w:rPr>
        <w:t>年度部门决算报表</w:t>
      </w:r>
      <w:r>
        <w:rPr>
          <w:rFonts w:hint="eastAsia" w:ascii="宋体" w:hAnsi="宋体" w:eastAsia="宋体" w:cs="宋体"/>
          <w:b/>
          <w:bCs/>
          <w:sz w:val="32"/>
          <w:szCs w:val="32"/>
        </w:rPr>
        <w:fldChar w:fldCharType="end"/>
      </w:r>
    </w:p>
    <w:p>
      <w:pPr>
        <w:pStyle w:val="5"/>
        <w:keepNext w:val="0"/>
        <w:keepLines w:val="0"/>
        <w:pageBreakBefore w:val="0"/>
        <w:widowControl/>
        <w:numPr>
          <w:ilvl w:val="0"/>
          <w:numId w:val="1"/>
        </w:numPr>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收入支出决算总表</w:t>
      </w:r>
    </w:p>
    <w:p>
      <w:pPr>
        <w:pStyle w:val="5"/>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二、收入决算表</w:t>
      </w:r>
    </w:p>
    <w:p>
      <w:pPr>
        <w:pStyle w:val="5"/>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三、支出决算表</w:t>
      </w:r>
    </w:p>
    <w:p>
      <w:pPr>
        <w:pStyle w:val="5"/>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四、财政拨款收入支出决算总表</w:t>
      </w:r>
    </w:p>
    <w:p>
      <w:pPr>
        <w:pStyle w:val="5"/>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五、一般公共预算财政拨款收入支出决算总表</w:t>
      </w:r>
    </w:p>
    <w:p>
      <w:pPr>
        <w:pStyle w:val="5"/>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六、一般公共预算财政拨款基本支出决算表</w:t>
      </w:r>
    </w:p>
    <w:p>
      <w:pPr>
        <w:pStyle w:val="5"/>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七、一般公共预算财政拨款“三公”经费支出决算表</w:t>
      </w:r>
    </w:p>
    <w:p>
      <w:pPr>
        <w:pStyle w:val="5"/>
        <w:keepNext w:val="0"/>
        <w:keepLines w:val="0"/>
        <w:pageBreakBefore w:val="0"/>
        <w:widowControl/>
        <w:tabs>
          <w:tab w:val="right" w:leader="dot" w:pos="9230"/>
        </w:tabs>
        <w:kinsoku/>
        <w:wordWrap/>
        <w:overflowPunct/>
        <w:topLinePunct w:val="0"/>
        <w:autoSpaceDE/>
        <w:autoSpaceDN/>
        <w:bidi w:val="0"/>
        <w:adjustRightInd/>
        <w:snapToGrid/>
        <w:spacing w:line="480" w:lineRule="auto"/>
        <w:ind w:left="0" w:leftChars="0" w:firstLine="0" w:firstLineChars="0"/>
        <w:textAlignment w:val="auto"/>
        <w:outlineLvl w:val="9"/>
        <w:rPr>
          <w:rFonts w:hint="default" w:ascii="宋体" w:hAnsi="宋体" w:eastAsia="宋体" w:cs="宋体"/>
          <w:b/>
          <w:bCs/>
          <w:sz w:val="32"/>
          <w:szCs w:val="32"/>
          <w:lang w:val="en-US" w:eastAsia="zh-CN"/>
        </w:rPr>
      </w:pPr>
      <w:r>
        <w:rPr>
          <w:rFonts w:hint="eastAsia" w:ascii="宋体" w:hAnsi="宋体" w:eastAsia="宋体" w:cs="宋体"/>
          <w:sz w:val="32"/>
          <w:szCs w:val="32"/>
          <w:lang w:val="en-US" w:eastAsia="zh-CN"/>
        </w:rPr>
        <w:t xml:space="preserve">八、政府性基金预算财政拨款收入支出决算表   </w:t>
      </w:r>
      <w:r>
        <w:rPr>
          <w:rFonts w:hint="eastAsia" w:ascii="宋体" w:hAnsi="宋体" w:eastAsia="宋体" w:cs="宋体"/>
          <w:b/>
          <w:bCs/>
          <w:sz w:val="32"/>
          <w:szCs w:val="32"/>
          <w:lang w:val="en-US" w:eastAsia="zh-CN"/>
        </w:rPr>
        <w:t xml:space="preserve">  </w:t>
      </w:r>
    </w:p>
    <w:p>
      <w:pPr>
        <w:pStyle w:val="4"/>
        <w:keepNext w:val="0"/>
        <w:keepLines w:val="0"/>
        <w:pageBreakBefore w:val="0"/>
        <w:widowControl/>
        <w:tabs>
          <w:tab w:val="right" w:leader="dot" w:pos="9230"/>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32"/>
          <w:szCs w:val="32"/>
        </w:rPr>
      </w:pPr>
      <w:r>
        <w:rPr>
          <w:rFonts w:hint="eastAsia" w:ascii="宋体" w:hAnsi="宋体" w:eastAsia="宋体" w:cs="宋体"/>
          <w:b/>
          <w:bCs/>
          <w:sz w:val="32"/>
          <w:szCs w:val="32"/>
        </w:rPr>
        <w:fldChar w:fldCharType="begin"/>
      </w:r>
      <w:r>
        <w:rPr>
          <w:rFonts w:hint="eastAsia" w:ascii="宋体" w:hAnsi="宋体" w:eastAsia="宋体" w:cs="宋体"/>
          <w:sz w:val="32"/>
          <w:szCs w:val="32"/>
        </w:rPr>
        <w:instrText xml:space="preserve"> HYPERLINK \l _Toc23257_WPSOffice_Level1 </w:instrText>
      </w:r>
      <w:r>
        <w:rPr>
          <w:rFonts w:hint="eastAsia" w:ascii="宋体" w:hAnsi="宋体" w:eastAsia="宋体" w:cs="宋体"/>
          <w:b/>
          <w:bCs/>
          <w:sz w:val="32"/>
          <w:szCs w:val="32"/>
        </w:rPr>
        <w:fldChar w:fldCharType="separate"/>
      </w:r>
      <w:r>
        <w:rPr>
          <w:rFonts w:hint="eastAsia" w:ascii="宋体" w:hAnsi="宋体" w:eastAsia="宋体" w:cs="宋体"/>
          <w:b/>
          <w:bCs/>
          <w:sz w:val="32"/>
          <w:szCs w:val="32"/>
        </w:rPr>
        <w:t xml:space="preserve">第三部门  </w:t>
      </w:r>
      <w:r>
        <w:rPr>
          <w:rFonts w:hint="eastAsia" w:ascii="宋体" w:hAnsi="宋体" w:eastAsia="宋体" w:cs="宋体"/>
          <w:b/>
          <w:bCs/>
          <w:sz w:val="32"/>
          <w:szCs w:val="32"/>
          <w:lang w:eastAsia="zh-CN"/>
        </w:rPr>
        <w:t>202</w:t>
      </w:r>
      <w:r>
        <w:rPr>
          <w:rFonts w:hint="eastAsia" w:ascii="宋体" w:hAnsi="宋体" w:cs="宋体"/>
          <w:b/>
          <w:bCs/>
          <w:sz w:val="32"/>
          <w:szCs w:val="32"/>
          <w:lang w:val="en-US" w:eastAsia="zh-CN"/>
        </w:rPr>
        <w:t>1</w:t>
      </w:r>
      <w:r>
        <w:rPr>
          <w:rFonts w:hint="eastAsia" w:ascii="宋体" w:hAnsi="宋体" w:eastAsia="宋体" w:cs="宋体"/>
          <w:b/>
          <w:bCs/>
          <w:sz w:val="32"/>
          <w:szCs w:val="32"/>
        </w:rPr>
        <w:t>年度部门决算情况说明</w:t>
      </w:r>
      <w:r>
        <w:rPr>
          <w:rFonts w:hint="eastAsia" w:ascii="宋体" w:hAnsi="宋体" w:eastAsia="宋体" w:cs="宋体"/>
          <w:b/>
          <w:bCs/>
          <w:sz w:val="32"/>
          <w:szCs w:val="32"/>
        </w:rPr>
        <w:fldChar w:fldCharType="end"/>
      </w:r>
    </w:p>
    <w:p>
      <w:pPr>
        <w:pStyle w:val="5"/>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fldChar w:fldCharType="begin"/>
      </w:r>
      <w:r>
        <w:rPr>
          <w:rFonts w:hint="eastAsia" w:ascii="宋体" w:hAnsi="宋体" w:eastAsia="宋体" w:cs="宋体"/>
          <w:sz w:val="32"/>
          <w:szCs w:val="32"/>
          <w:lang w:val="en-US" w:eastAsia="zh-CN"/>
        </w:rPr>
        <w:instrText xml:space="preserve"> HYPERLINK \l _Toc7494_WPSOffice_Level1 </w:instrText>
      </w:r>
      <w:r>
        <w:rPr>
          <w:rFonts w:hint="eastAsia" w:ascii="宋体" w:hAnsi="宋体" w:eastAsia="宋体" w:cs="宋体"/>
          <w:sz w:val="32"/>
          <w:szCs w:val="32"/>
          <w:lang w:val="en-US" w:eastAsia="zh-CN"/>
        </w:rPr>
        <w:fldChar w:fldCharType="separate"/>
      </w:r>
      <w:r>
        <w:rPr>
          <w:rFonts w:hint="eastAsia" w:ascii="宋体" w:hAnsi="宋体" w:eastAsia="宋体" w:cs="宋体"/>
          <w:sz w:val="32"/>
          <w:szCs w:val="32"/>
          <w:lang w:val="en-US" w:eastAsia="zh-CN"/>
        </w:rPr>
        <w:t>一、收入决算总体情况说明</w:t>
      </w:r>
      <w:r>
        <w:rPr>
          <w:rFonts w:hint="eastAsia" w:ascii="宋体" w:hAnsi="宋体" w:eastAsia="宋体" w:cs="宋体"/>
          <w:sz w:val="32"/>
          <w:szCs w:val="32"/>
          <w:lang w:val="en-US" w:eastAsia="zh-CN"/>
        </w:rPr>
        <w:fldChar w:fldCharType="end"/>
      </w:r>
    </w:p>
    <w:p>
      <w:pPr>
        <w:pStyle w:val="5"/>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fldChar w:fldCharType="begin"/>
      </w:r>
      <w:r>
        <w:rPr>
          <w:rFonts w:hint="eastAsia" w:ascii="宋体" w:hAnsi="宋体" w:eastAsia="宋体" w:cs="宋体"/>
          <w:sz w:val="32"/>
          <w:szCs w:val="32"/>
          <w:lang w:val="en-US" w:eastAsia="zh-CN"/>
        </w:rPr>
        <w:instrText xml:space="preserve"> HYPERLINK \l _Toc2047_WPSOffice_Level1 </w:instrText>
      </w:r>
      <w:r>
        <w:rPr>
          <w:rFonts w:hint="eastAsia" w:ascii="宋体" w:hAnsi="宋体" w:eastAsia="宋体" w:cs="宋体"/>
          <w:sz w:val="32"/>
          <w:szCs w:val="32"/>
          <w:lang w:val="en-US" w:eastAsia="zh-CN"/>
        </w:rPr>
        <w:fldChar w:fldCharType="separate"/>
      </w:r>
      <w:r>
        <w:rPr>
          <w:rFonts w:hint="eastAsia" w:ascii="宋体" w:hAnsi="宋体" w:eastAsia="宋体" w:cs="宋体"/>
          <w:sz w:val="32"/>
          <w:szCs w:val="32"/>
          <w:lang w:val="en-US" w:eastAsia="zh-CN"/>
        </w:rPr>
        <w:t>二、收入决算情况说明</w:t>
      </w:r>
      <w:r>
        <w:rPr>
          <w:rFonts w:hint="eastAsia" w:ascii="宋体" w:hAnsi="宋体" w:eastAsia="宋体" w:cs="宋体"/>
          <w:sz w:val="32"/>
          <w:szCs w:val="32"/>
          <w:lang w:val="en-US" w:eastAsia="zh-CN"/>
        </w:rPr>
        <w:fldChar w:fldCharType="end"/>
      </w:r>
    </w:p>
    <w:p>
      <w:pPr>
        <w:pStyle w:val="5"/>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fldChar w:fldCharType="begin"/>
      </w:r>
      <w:r>
        <w:rPr>
          <w:rFonts w:hint="eastAsia" w:ascii="宋体" w:hAnsi="宋体" w:eastAsia="宋体" w:cs="宋体"/>
          <w:sz w:val="32"/>
          <w:szCs w:val="32"/>
          <w:lang w:val="en-US" w:eastAsia="zh-CN"/>
        </w:rPr>
        <w:instrText xml:space="preserve"> HYPERLINK \l _Toc22991_WPSOffice_Level1 </w:instrText>
      </w:r>
      <w:r>
        <w:rPr>
          <w:rFonts w:hint="eastAsia" w:ascii="宋体" w:hAnsi="宋体" w:eastAsia="宋体" w:cs="宋体"/>
          <w:sz w:val="32"/>
          <w:szCs w:val="32"/>
          <w:lang w:val="en-US" w:eastAsia="zh-CN"/>
        </w:rPr>
        <w:fldChar w:fldCharType="separate"/>
      </w:r>
      <w:r>
        <w:rPr>
          <w:rFonts w:hint="eastAsia" w:ascii="宋体" w:hAnsi="宋体" w:eastAsia="宋体" w:cs="宋体"/>
          <w:sz w:val="32"/>
          <w:szCs w:val="32"/>
          <w:lang w:val="en-US" w:eastAsia="zh-CN"/>
        </w:rPr>
        <w:t>三、支出决算情况说明</w:t>
      </w:r>
    </w:p>
    <w:p>
      <w:pPr>
        <w:pStyle w:val="5"/>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四、财政拨款收入支出决算总体情况说明</w:t>
      </w:r>
    </w:p>
    <w:p>
      <w:pPr>
        <w:pStyle w:val="5"/>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五、一般公共预算财政拨款支出预算情况说明</w:t>
      </w:r>
    </w:p>
    <w:p>
      <w:pPr>
        <w:pStyle w:val="5"/>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六、一般公共预算财政拨款基本支出决算情况说明</w:t>
      </w:r>
    </w:p>
    <w:p>
      <w:pPr>
        <w:pStyle w:val="5"/>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七、一般公共预算财政拨款“三公”经费支出决算情况</w:t>
      </w:r>
      <w:r>
        <w:rPr>
          <w:rFonts w:hint="eastAsia" w:ascii="宋体" w:hAnsi="宋体" w:eastAsia="宋体" w:cs="宋体"/>
          <w:sz w:val="32"/>
          <w:szCs w:val="32"/>
          <w:lang w:val="en-US" w:eastAsia="zh-CN"/>
        </w:rPr>
        <w:fldChar w:fldCharType="end"/>
      </w:r>
      <w:r>
        <w:rPr>
          <w:rFonts w:hint="eastAsia" w:ascii="宋体" w:hAnsi="宋体" w:eastAsia="宋体" w:cs="宋体"/>
          <w:sz w:val="32"/>
          <w:szCs w:val="32"/>
          <w:lang w:val="en-US" w:eastAsia="zh-CN"/>
        </w:rPr>
        <w:t>说明</w:t>
      </w:r>
    </w:p>
    <w:p>
      <w:pPr>
        <w:pStyle w:val="5"/>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八、政府性基金预算财政拨款收入支出情况说明</w:t>
      </w:r>
    </w:p>
    <w:p>
      <w:pPr>
        <w:pStyle w:val="5"/>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九、预算绩效情况说明</w:t>
      </w:r>
    </w:p>
    <w:p>
      <w:pPr>
        <w:pStyle w:val="5"/>
        <w:keepNext w:val="0"/>
        <w:keepLines w:val="0"/>
        <w:pageBreakBefore w:val="0"/>
        <w:widowControl/>
        <w:tabs>
          <w:tab w:val="right" w:leader="dot" w:pos="9230"/>
        </w:tabs>
        <w:kinsoku/>
        <w:wordWrap/>
        <w:overflowPunct/>
        <w:topLinePunct w:val="0"/>
        <w:autoSpaceDE/>
        <w:autoSpaceDN/>
        <w:bidi w:val="0"/>
        <w:adjustRightInd/>
        <w:snapToGrid/>
        <w:spacing w:line="480" w:lineRule="auto"/>
        <w:ind w:left="0" w:leftChars="0" w:firstLine="0" w:firstLineChars="0"/>
        <w:textAlignment w:val="auto"/>
        <w:outlineLvl w:val="9"/>
        <w:rPr>
          <w:rFonts w:hint="eastAsia" w:ascii="宋体" w:hAnsi="宋体" w:eastAsia="宋体" w:cs="宋体"/>
          <w:b/>
          <w:bCs/>
          <w:sz w:val="32"/>
          <w:szCs w:val="32"/>
        </w:rPr>
      </w:pPr>
      <w:r>
        <w:rPr>
          <w:rFonts w:hint="eastAsia" w:ascii="宋体" w:hAnsi="宋体" w:eastAsia="宋体" w:cs="宋体"/>
          <w:sz w:val="32"/>
          <w:szCs w:val="32"/>
          <w:lang w:val="en-US" w:eastAsia="zh-CN"/>
        </w:rPr>
        <w:t>十、其他重要事项情况说明</w:t>
      </w:r>
    </w:p>
    <w:p>
      <w:pPr>
        <w:pStyle w:val="4"/>
        <w:keepNext w:val="0"/>
        <w:keepLines w:val="0"/>
        <w:pageBreakBefore w:val="0"/>
        <w:widowControl/>
        <w:tabs>
          <w:tab w:val="right" w:leader="dot" w:pos="9230"/>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32"/>
          <w:szCs w:val="32"/>
        </w:rPr>
      </w:pPr>
      <w:r>
        <w:rPr>
          <w:rFonts w:hint="eastAsia" w:ascii="宋体" w:hAnsi="宋体" w:eastAsia="宋体" w:cs="宋体"/>
          <w:b/>
          <w:bCs/>
          <w:sz w:val="32"/>
          <w:szCs w:val="32"/>
        </w:rPr>
        <w:fldChar w:fldCharType="begin"/>
      </w:r>
      <w:r>
        <w:rPr>
          <w:rFonts w:hint="eastAsia" w:ascii="宋体" w:hAnsi="宋体" w:eastAsia="宋体" w:cs="宋体"/>
          <w:sz w:val="32"/>
          <w:szCs w:val="32"/>
        </w:rPr>
        <w:instrText xml:space="preserve"> HYPERLINK \l _Toc1572_WPSOffice_Level1 </w:instrText>
      </w:r>
      <w:r>
        <w:rPr>
          <w:rFonts w:hint="eastAsia" w:ascii="宋体" w:hAnsi="宋体" w:eastAsia="宋体" w:cs="宋体"/>
          <w:b/>
          <w:bCs/>
          <w:sz w:val="32"/>
          <w:szCs w:val="32"/>
        </w:rPr>
        <w:fldChar w:fldCharType="separate"/>
      </w:r>
      <w:r>
        <w:rPr>
          <w:rFonts w:hint="eastAsia" w:ascii="宋体" w:hAnsi="宋体" w:eastAsia="宋体" w:cs="宋体"/>
          <w:b/>
          <w:bCs/>
          <w:sz w:val="32"/>
          <w:szCs w:val="32"/>
        </w:rPr>
        <w:t>第四部分 名词解释</w:t>
      </w:r>
      <w:r>
        <w:rPr>
          <w:rFonts w:hint="eastAsia" w:ascii="宋体" w:hAnsi="宋体" w:eastAsia="宋体" w:cs="宋体"/>
          <w:b/>
          <w:bCs/>
          <w:sz w:val="32"/>
          <w:szCs w:val="32"/>
        </w:rPr>
        <w:fldChar w:fldCharType="end"/>
      </w:r>
    </w:p>
    <w:bookmarkEnd w:id="0"/>
    <w:p>
      <w:pPr>
        <w:keepNext w:val="0"/>
        <w:keepLines w:val="0"/>
        <w:pageBreakBefore w:val="0"/>
        <w:widowControl w:val="0"/>
        <w:kinsoku/>
        <w:wordWrap/>
        <w:overflowPunct/>
        <w:topLinePunct w:val="0"/>
        <w:autoSpaceDE/>
        <w:autoSpaceDN/>
        <w:bidi w:val="0"/>
        <w:adjustRightInd/>
        <w:spacing w:line="360" w:lineRule="auto"/>
        <w:textAlignment w:val="auto"/>
        <w:outlineLvl w:val="9"/>
        <w:rPr>
          <w:rFonts w:hint="eastAsia"/>
          <w:b/>
          <w:bCs/>
        </w:rPr>
      </w:pPr>
      <w:bookmarkStart w:id="1" w:name="_Toc27194_WPSOffice_Level1"/>
    </w:p>
    <w:p>
      <w:pPr>
        <w:keepNext w:val="0"/>
        <w:keepLines w:val="0"/>
        <w:pageBreakBefore w:val="0"/>
        <w:widowControl w:val="0"/>
        <w:kinsoku/>
        <w:wordWrap/>
        <w:overflowPunct/>
        <w:topLinePunct w:val="0"/>
        <w:autoSpaceDE/>
        <w:autoSpaceDN/>
        <w:bidi w:val="0"/>
        <w:adjustRightInd/>
        <w:spacing w:line="360" w:lineRule="auto"/>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pacing w:line="360" w:lineRule="auto"/>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pacing w:line="360" w:lineRule="auto"/>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pacing w:line="360" w:lineRule="auto"/>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pacing w:line="360" w:lineRule="auto"/>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pacing w:line="360" w:lineRule="auto"/>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pacing w:line="360" w:lineRule="auto"/>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pacing w:line="360" w:lineRule="auto"/>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pacing w:line="360" w:lineRule="auto"/>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pacing w:line="360" w:lineRule="auto"/>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pacing w:line="360" w:lineRule="auto"/>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pacing w:line="360" w:lineRule="auto"/>
        <w:textAlignment w:val="auto"/>
        <w:outlineLvl w:val="9"/>
        <w:rPr>
          <w:rFonts w:hint="eastAsia" w:ascii="仿宋" w:hAnsi="仿宋" w:eastAsia="仿宋" w:cs="仿宋"/>
          <w:b/>
          <w:bCs/>
        </w:rPr>
      </w:pPr>
    </w:p>
    <w:p>
      <w:pPr>
        <w:keepNext w:val="0"/>
        <w:keepLines w:val="0"/>
        <w:pageBreakBefore w:val="0"/>
        <w:widowControl w:val="0"/>
        <w:kinsoku/>
        <w:wordWrap/>
        <w:overflowPunct/>
        <w:topLinePunct w:val="0"/>
        <w:autoSpaceDE/>
        <w:autoSpaceDN/>
        <w:bidi w:val="0"/>
        <w:adjustRightInd/>
        <w:spacing w:line="360" w:lineRule="auto"/>
        <w:textAlignment w:val="auto"/>
        <w:outlineLvl w:val="9"/>
        <w:rPr>
          <w:rFonts w:hint="eastAsia" w:ascii="仿宋" w:hAnsi="仿宋" w:eastAsia="仿宋" w:cs="仿宋"/>
          <w:b/>
          <w:bCs/>
        </w:rPr>
      </w:pPr>
      <w:r>
        <w:rPr>
          <w:rFonts w:hint="eastAsia" w:ascii="仿宋" w:hAnsi="仿宋" w:eastAsia="仿宋" w:cs="仿宋"/>
          <w:b/>
          <w:bCs/>
        </w:rPr>
        <w:t>第一部分 概况</w:t>
      </w:r>
      <w:bookmarkEnd w:id="1"/>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cs="仿宋"/>
          <w:b/>
          <w:szCs w:val="32"/>
          <w:lang w:val="en-US" w:eastAsia="zh-CN"/>
        </w:rPr>
      </w:pPr>
      <w:r>
        <w:rPr>
          <w:rFonts w:hint="eastAsia" w:ascii="仿宋" w:hAnsi="仿宋" w:cs="仿宋"/>
          <w:b/>
          <w:szCs w:val="32"/>
          <w:lang w:val="en-US" w:eastAsia="zh-CN"/>
        </w:rPr>
        <w:t>一、部门职责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仿宋" w:hAnsi="仿宋" w:cs="仿宋"/>
          <w:b/>
          <w:color w:val="000000"/>
          <w:szCs w:val="32"/>
        </w:rPr>
      </w:pPr>
      <w:r>
        <w:rPr>
          <w:rFonts w:hint="eastAsia" w:ascii="仿宋_GB2312" w:hAnsi="仿宋_GB2312" w:eastAsia="仿宋_GB2312" w:cs="仿宋_GB2312"/>
          <w:color w:val="000000"/>
          <w:szCs w:val="32"/>
          <w:shd w:val="clear" w:color="auto" w:fill="FFFFFF"/>
        </w:rPr>
        <w:t xml:space="preserve">   </w:t>
      </w:r>
      <w:r>
        <w:rPr>
          <w:rFonts w:hint="eastAsia" w:ascii="仿宋_GB2312" w:hAnsi="仿宋_GB2312" w:eastAsia="仿宋_GB2312" w:cs="仿宋_GB2312"/>
          <w:color w:val="000000"/>
          <w:szCs w:val="32"/>
          <w:shd w:val="clear" w:color="auto" w:fill="FFFFFF"/>
          <w:lang w:val="en-US" w:eastAsia="zh-CN"/>
        </w:rPr>
        <w:t xml:space="preserve"> </w:t>
      </w:r>
      <w:r>
        <w:rPr>
          <w:rFonts w:hint="eastAsia" w:ascii="仿宋_GB2312" w:hAnsi="仿宋_GB2312" w:eastAsia="仿宋_GB2312" w:cs="仿宋_GB2312"/>
          <w:color w:val="000000"/>
          <w:szCs w:val="32"/>
          <w:shd w:val="clear" w:color="auto" w:fill="FFFFFF"/>
        </w:rPr>
        <w:t>贯彻执行国家和省有关法制建设、社会治安综合治理、司法、规划、建设、市容和环境卫生、绿化、市政管理、旅游、环境保护、林业生态、文化、文物、民族宗教、国土、水资源、交通运输、教育、卫生计生、物价、市场监督管理、安全生产等方面的法律法规、规章和方针政策，研究起草规范性文件并组织实施;负责景区法制建设、社会治安综合治理、司法等工作;负责景区综合行政执法工作，按照授权和委托，依法行使行政处罚权。</w:t>
      </w:r>
    </w:p>
    <w:p>
      <w:pPr>
        <w:rPr>
          <w:b/>
          <w:bCs/>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b/>
          <w:bCs/>
        </w:rPr>
      </w:pPr>
      <w:bookmarkStart w:id="2" w:name="_Toc22881_WPSOffice_Level2"/>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b/>
          <w:bCs/>
        </w:rPr>
      </w:pPr>
      <w:r>
        <w:rPr>
          <w:rFonts w:hint="eastAsia"/>
          <w:b/>
          <w:bCs/>
        </w:rPr>
        <w:t>二</w:t>
      </w:r>
      <w:r>
        <w:rPr>
          <w:rFonts w:hint="eastAsia"/>
          <w:b/>
          <w:bCs/>
          <w:lang w:eastAsia="zh-CN"/>
        </w:rPr>
        <w:t>、</w:t>
      </w:r>
      <w:r>
        <w:rPr>
          <w:rFonts w:hint="eastAsia"/>
          <w:b/>
          <w:bCs/>
        </w:rPr>
        <w:t>机构设置情况</w:t>
      </w:r>
      <w:bookmarkEnd w:id="2"/>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pPr>
      <w:r>
        <w:rPr>
          <w:rFonts w:hint="eastAsia"/>
        </w:rPr>
        <w:t>从部门决算构成看，五台山综合行政执法局决算主要包括局机关决算。</w:t>
      </w:r>
    </w:p>
    <w:p>
      <w:pPr>
        <w:rPr>
          <w:b/>
          <w:bCs/>
        </w:rPr>
      </w:pPr>
    </w:p>
    <w:p>
      <w:pPr>
        <w:ind w:firstLine="643" w:firstLineChars="200"/>
        <w:rPr>
          <w:rFonts w:hint="eastAsia"/>
          <w:b/>
          <w:bCs/>
        </w:rPr>
      </w:pPr>
    </w:p>
    <w:p>
      <w:pPr>
        <w:ind w:firstLine="643" w:firstLineChars="200"/>
        <w:rPr>
          <w:rFonts w:hint="eastAsia"/>
          <w:b/>
          <w:bCs/>
        </w:rPr>
      </w:pPr>
    </w:p>
    <w:p>
      <w:pPr>
        <w:ind w:firstLine="643" w:firstLineChars="200"/>
        <w:rPr>
          <w:rFonts w:hint="eastAsia"/>
          <w:b/>
          <w:bCs/>
        </w:rPr>
      </w:pPr>
    </w:p>
    <w:p>
      <w:pPr>
        <w:ind w:firstLine="643" w:firstLineChars="200"/>
        <w:rPr>
          <w:rFonts w:hint="eastAsia"/>
          <w:b/>
          <w:bCs/>
        </w:rPr>
      </w:pPr>
    </w:p>
    <w:p>
      <w:pPr>
        <w:ind w:firstLine="643" w:firstLineChars="200"/>
        <w:rPr>
          <w:rFonts w:hint="eastAsia"/>
          <w:b/>
          <w:bCs/>
        </w:rPr>
      </w:pPr>
    </w:p>
    <w:p>
      <w:pPr>
        <w:rPr>
          <w:rFonts w:hint="eastAsia"/>
          <w:b/>
          <w:bCs/>
        </w:rPr>
      </w:pPr>
    </w:p>
    <w:p>
      <w:pPr>
        <w:rPr>
          <w:rFonts w:hint="eastAsia"/>
          <w:b/>
          <w:bCs/>
        </w:rPr>
      </w:pPr>
    </w:p>
    <w:p>
      <w:pPr>
        <w:pStyle w:val="5"/>
        <w:keepNext w:val="0"/>
        <w:keepLines w:val="0"/>
        <w:pageBreakBefore w:val="0"/>
        <w:widowControl/>
        <w:numPr>
          <w:ilvl w:val="0"/>
          <w:numId w:val="0"/>
        </w:numPr>
        <w:tabs>
          <w:tab w:val="right" w:leader="dot" w:pos="9230"/>
        </w:tabs>
        <w:kinsoku/>
        <w:wordWrap/>
        <w:overflowPunct/>
        <w:topLinePunct w:val="0"/>
        <w:autoSpaceDE/>
        <w:autoSpaceDN/>
        <w:bidi w:val="0"/>
        <w:adjustRightInd/>
        <w:snapToGrid/>
        <w:spacing w:line="360" w:lineRule="auto"/>
        <w:ind w:leftChars="0"/>
        <w:textAlignment w:val="auto"/>
        <w:outlineLvl w:val="9"/>
        <w:rPr>
          <w:rFonts w:hint="eastAsia" w:ascii="宋体" w:hAnsi="宋体" w:eastAsia="宋体" w:cs="宋体"/>
          <w:sz w:val="32"/>
          <w:szCs w:val="32"/>
          <w:lang w:val="en-US" w:eastAsia="zh-CN"/>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sectPr>
          <w:pgSz w:w="11906" w:h="16838"/>
          <w:pgMar w:top="1440" w:right="1800" w:bottom="1440" w:left="1800" w:header="851" w:footer="992" w:gutter="0"/>
          <w:cols w:space="425" w:num="1"/>
          <w:docGrid w:type="lines" w:linePitch="312" w:charSpace="0"/>
        </w:sectPr>
      </w:pPr>
    </w:p>
    <w:p>
      <w:pPr>
        <w:pStyle w:val="4"/>
        <w:keepNext w:val="0"/>
        <w:keepLines w:val="0"/>
        <w:pageBreakBefore w:val="0"/>
        <w:widowControl/>
        <w:tabs>
          <w:tab w:val="right" w:leader="dot" w:pos="9230"/>
        </w:tabs>
        <w:kinsoku/>
        <w:wordWrap/>
        <w:overflowPunct/>
        <w:topLinePunct w:val="0"/>
        <w:autoSpaceDE/>
        <w:autoSpaceDN/>
        <w:bidi w:val="0"/>
        <w:adjustRightInd/>
        <w:snapToGrid/>
        <w:spacing w:line="480" w:lineRule="auto"/>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rPr>
        <w:fldChar w:fldCharType="begin"/>
      </w:r>
      <w:r>
        <w:rPr>
          <w:rFonts w:hint="eastAsia" w:ascii="宋体" w:hAnsi="宋体" w:eastAsia="宋体" w:cs="宋体"/>
          <w:b/>
          <w:bCs/>
          <w:sz w:val="32"/>
          <w:szCs w:val="32"/>
        </w:rPr>
        <w:instrText xml:space="preserve"> HYPERLINK \l _Toc12665_WPSOffice_Level1 </w:instrText>
      </w:r>
      <w:r>
        <w:rPr>
          <w:rFonts w:hint="eastAsia" w:ascii="宋体" w:hAnsi="宋体" w:eastAsia="宋体" w:cs="宋体"/>
          <w:b/>
          <w:bCs/>
          <w:sz w:val="32"/>
          <w:szCs w:val="32"/>
        </w:rPr>
        <w:fldChar w:fldCharType="separate"/>
      </w:r>
      <w:r>
        <w:rPr>
          <w:rFonts w:hint="eastAsia" w:ascii="宋体" w:hAnsi="宋体" w:eastAsia="宋体" w:cs="宋体"/>
          <w:b/>
          <w:bCs/>
          <w:sz w:val="32"/>
          <w:szCs w:val="32"/>
        </w:rPr>
        <w:t xml:space="preserve">第二部门  </w:t>
      </w:r>
      <w:r>
        <w:rPr>
          <w:rFonts w:hint="eastAsia" w:ascii="宋体" w:hAnsi="宋体" w:eastAsia="宋体" w:cs="宋体"/>
          <w:b/>
          <w:bCs/>
          <w:sz w:val="32"/>
          <w:szCs w:val="32"/>
          <w:lang w:eastAsia="zh-CN"/>
        </w:rPr>
        <w:t>202</w:t>
      </w:r>
      <w:r>
        <w:rPr>
          <w:rFonts w:hint="eastAsia" w:ascii="宋体" w:hAnsi="宋体" w:cs="宋体"/>
          <w:b/>
          <w:bCs/>
          <w:sz w:val="32"/>
          <w:szCs w:val="32"/>
          <w:lang w:val="en-US" w:eastAsia="zh-CN"/>
        </w:rPr>
        <w:t>1</w:t>
      </w:r>
      <w:r>
        <w:rPr>
          <w:rFonts w:hint="eastAsia" w:ascii="宋体" w:hAnsi="宋体" w:eastAsia="宋体" w:cs="宋体"/>
          <w:b/>
          <w:bCs/>
          <w:sz w:val="32"/>
          <w:szCs w:val="32"/>
        </w:rPr>
        <w:t>年度部门决算报表</w:t>
      </w:r>
      <w:r>
        <w:rPr>
          <w:rFonts w:hint="eastAsia" w:ascii="宋体" w:hAnsi="宋体" w:eastAsia="宋体" w:cs="宋体"/>
          <w:b/>
          <w:bCs/>
          <w:sz w:val="32"/>
          <w:szCs w:val="32"/>
        </w:rPr>
        <w:fldChar w:fldCharType="end"/>
      </w:r>
    </w:p>
    <w:p>
      <w:pPr>
        <w:pStyle w:val="5"/>
        <w:keepNext w:val="0"/>
        <w:keepLines w:val="0"/>
        <w:pageBreakBefore w:val="0"/>
        <w:widowControl/>
        <w:numPr>
          <w:ilvl w:val="0"/>
          <w:numId w:val="0"/>
        </w:numPr>
        <w:tabs>
          <w:tab w:val="right" w:leader="dot" w:pos="9230"/>
        </w:tabs>
        <w:kinsoku/>
        <w:wordWrap/>
        <w:overflowPunct/>
        <w:topLinePunct w:val="0"/>
        <w:autoSpaceDE/>
        <w:autoSpaceDN/>
        <w:bidi w:val="0"/>
        <w:adjustRightInd/>
        <w:snapToGrid/>
        <w:spacing w:line="360" w:lineRule="auto"/>
        <w:ind w:leftChars="0"/>
        <w:jc w:val="center"/>
        <w:textAlignment w:val="auto"/>
        <w:outlineLvl w:val="9"/>
        <w:rPr>
          <w:rFonts w:hint="eastAsia" w:ascii="宋体" w:hAnsi="宋体" w:eastAsia="宋体" w:cs="宋体"/>
          <w:sz w:val="32"/>
          <w:szCs w:val="32"/>
          <w:lang w:val="en-US" w:eastAsia="zh-CN"/>
        </w:rPr>
      </w:pPr>
      <w:r>
        <w:rPr>
          <w:rFonts w:hint="eastAsia" w:ascii="宋体" w:hAnsi="宋体" w:cs="宋体"/>
          <w:sz w:val="32"/>
          <w:szCs w:val="32"/>
          <w:lang w:val="en-US" w:eastAsia="zh-CN"/>
        </w:rPr>
        <w:t>一、</w:t>
      </w:r>
      <w:r>
        <w:rPr>
          <w:rFonts w:hint="eastAsia" w:ascii="宋体" w:hAnsi="宋体" w:eastAsia="宋体" w:cs="宋体"/>
          <w:sz w:val="32"/>
          <w:szCs w:val="32"/>
          <w:lang w:val="en-US" w:eastAsia="zh-CN"/>
        </w:rPr>
        <w:t>收入支出决算总表</w:t>
      </w:r>
    </w:p>
    <w:tbl>
      <w:tblPr>
        <w:tblStyle w:val="2"/>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64"/>
        <w:gridCol w:w="715"/>
        <w:gridCol w:w="1673"/>
        <w:gridCol w:w="3830"/>
        <w:gridCol w:w="715"/>
        <w:gridCol w:w="1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部门：山西省忻州市五台山风景名胜区综合行政执法局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7,056,908.97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7,003,156.95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7,057,010.18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7,050,016.47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10,605.17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17,598.88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7,067,615.35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7,067,615.35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注：本表反映部门本年度的总收支和年末结转结余情况。本套报表金额单位转换时可能存在尾数误差。</w:t>
            </w:r>
          </w:p>
        </w:tc>
      </w:tr>
    </w:tbl>
    <w:p>
      <w:pPr>
        <w:rPr>
          <w:rFonts w:hint="eastAsia"/>
          <w:b/>
          <w:bCs/>
        </w:rPr>
      </w:pPr>
    </w:p>
    <w:p>
      <w:pPr>
        <w:rPr>
          <w:rFonts w:hint="eastAsia"/>
          <w:b/>
          <w:bCs/>
        </w:rPr>
      </w:pPr>
    </w:p>
    <w:p>
      <w:pPr>
        <w:pStyle w:val="5"/>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二、收入决算表</w:t>
      </w:r>
    </w:p>
    <w:tbl>
      <w:tblPr>
        <w:tblStyle w:val="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41"/>
        <w:gridCol w:w="221"/>
        <w:gridCol w:w="221"/>
        <w:gridCol w:w="3509"/>
        <w:gridCol w:w="1388"/>
        <w:gridCol w:w="1388"/>
        <w:gridCol w:w="410"/>
        <w:gridCol w:w="410"/>
        <w:gridCol w:w="410"/>
        <w:gridCol w:w="410"/>
        <w:gridCol w:w="1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部门：山西省忻州市五台山风景名胜区综合行政执法局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7,057,010.18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7,056,908.97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7,010,150.66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7,010,049.45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7,010,150.66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7,010,049.45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法制建设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7,010,150.66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7,010,049.45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rPr>
          <w:b/>
          <w:bCs/>
        </w:rPr>
      </w:pPr>
    </w:p>
    <w:p>
      <w:pPr>
        <w:rPr>
          <w:b/>
          <w:bCs/>
        </w:rPr>
      </w:pPr>
    </w:p>
    <w:p>
      <w:pPr>
        <w:rPr>
          <w:b/>
          <w:bCs/>
        </w:rPr>
      </w:pPr>
    </w:p>
    <w:p>
      <w:pPr>
        <w:pStyle w:val="5"/>
        <w:keepNext w:val="0"/>
        <w:keepLines w:val="0"/>
        <w:pageBreakBefore w:val="0"/>
        <w:widowControl/>
        <w:numPr>
          <w:ilvl w:val="0"/>
          <w:numId w:val="1"/>
        </w:numPr>
        <w:tabs>
          <w:tab w:val="right" w:leader="dot" w:pos="9230"/>
        </w:tabs>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宋体" w:hAnsi="宋体" w:eastAsia="宋体" w:cs="宋体"/>
          <w:sz w:val="32"/>
          <w:szCs w:val="32"/>
          <w:lang w:val="en-US" w:eastAsia="zh-CN"/>
        </w:rPr>
      </w:pPr>
      <w:r>
        <w:rPr>
          <w:rFonts w:hint="eastAsia" w:ascii="宋体" w:hAnsi="宋体" w:cs="宋体"/>
          <w:sz w:val="32"/>
          <w:szCs w:val="32"/>
          <w:lang w:val="en-US" w:eastAsia="zh-CN"/>
        </w:rPr>
        <w:t>收入</w:t>
      </w:r>
      <w:r>
        <w:rPr>
          <w:rFonts w:hint="eastAsia" w:ascii="宋体" w:hAnsi="宋体" w:eastAsia="宋体" w:cs="宋体"/>
          <w:sz w:val="32"/>
          <w:szCs w:val="32"/>
          <w:lang w:val="en-US" w:eastAsia="zh-CN"/>
        </w:rPr>
        <w:t>决算表</w:t>
      </w: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76"/>
        <w:gridCol w:w="221"/>
        <w:gridCol w:w="221"/>
        <w:gridCol w:w="3535"/>
        <w:gridCol w:w="1397"/>
        <w:gridCol w:w="1397"/>
        <w:gridCol w:w="411"/>
        <w:gridCol w:w="411"/>
        <w:gridCol w:w="411"/>
        <w:gridCol w:w="412"/>
        <w:gridCol w:w="1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421"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4"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421"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部门：山西省忻州市五台山风景名胜区综合行政执法局</w:t>
            </w: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4"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9"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1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51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9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9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9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9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50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8"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121"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1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0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1"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1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0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1"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1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0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9"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1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1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0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9"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7,057,010.18</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7,056,908.97</w:t>
            </w:r>
          </w:p>
        </w:tc>
        <w:tc>
          <w:tcPr>
            <w:tcW w:w="1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7,010,150.66</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7,010,049.45</w:t>
            </w:r>
          </w:p>
        </w:tc>
        <w:tc>
          <w:tcPr>
            <w:tcW w:w="1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司法</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7,010,150.66</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7,010,049.45</w:t>
            </w:r>
          </w:p>
        </w:tc>
        <w:tc>
          <w:tcPr>
            <w:tcW w:w="1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2040612</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法制建设</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7,010,150.66</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7,010,049.45</w:t>
            </w:r>
          </w:p>
        </w:tc>
        <w:tc>
          <w:tcPr>
            <w:tcW w:w="1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1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1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1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2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2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2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2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pStyle w:val="5"/>
        <w:keepNext w:val="0"/>
        <w:keepLines w:val="0"/>
        <w:pageBreakBefore w:val="0"/>
        <w:widowControl/>
        <w:numPr>
          <w:ilvl w:val="0"/>
          <w:numId w:val="0"/>
        </w:numPr>
        <w:tabs>
          <w:tab w:val="right" w:leader="dot" w:pos="9230"/>
        </w:tabs>
        <w:kinsoku/>
        <w:wordWrap/>
        <w:overflowPunct/>
        <w:topLinePunct w:val="0"/>
        <w:autoSpaceDE/>
        <w:autoSpaceDN/>
        <w:bidi w:val="0"/>
        <w:adjustRightInd/>
        <w:snapToGrid/>
        <w:spacing w:line="360" w:lineRule="auto"/>
        <w:ind w:leftChars="0"/>
        <w:jc w:val="both"/>
        <w:textAlignment w:val="auto"/>
        <w:outlineLvl w:val="9"/>
        <w:rPr>
          <w:rFonts w:hint="default" w:ascii="宋体" w:hAnsi="宋体" w:eastAsia="宋体" w:cs="宋体"/>
          <w:sz w:val="32"/>
          <w:szCs w:val="32"/>
          <w:lang w:val="en-US" w:eastAsia="zh-CN"/>
        </w:rPr>
      </w:pPr>
    </w:p>
    <w:p>
      <w:pPr>
        <w:rPr>
          <w:b/>
          <w:bCs/>
        </w:rPr>
      </w:pPr>
    </w:p>
    <w:p>
      <w:pPr>
        <w:rPr>
          <w:b/>
          <w:bCs/>
        </w:rPr>
      </w:pPr>
    </w:p>
    <w:p>
      <w:pPr>
        <w:rPr>
          <w:b/>
          <w:bCs/>
        </w:rPr>
      </w:pPr>
    </w:p>
    <w:p>
      <w:pPr>
        <w:rPr>
          <w:b/>
          <w:bCs/>
        </w:rPr>
      </w:pPr>
    </w:p>
    <w:p>
      <w:pPr>
        <w:pStyle w:val="5"/>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三、支出决算表</w:t>
      </w:r>
    </w:p>
    <w:tbl>
      <w:tblPr>
        <w:tblStyle w:val="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49"/>
        <w:gridCol w:w="221"/>
        <w:gridCol w:w="221"/>
        <w:gridCol w:w="3359"/>
        <w:gridCol w:w="1335"/>
        <w:gridCol w:w="1335"/>
        <w:gridCol w:w="1335"/>
        <w:gridCol w:w="401"/>
        <w:gridCol w:w="401"/>
        <w:gridCol w:w="1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部门：山西省忻州市五台山风景名胜区综合行政执法局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7,050,016.47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1,218,577.52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5,831,438.95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7,003,156.95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1,171,718.00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5,831,438.95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7,003,156.95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1,171,718.00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5,831,438.95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法制建设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7,003,156.95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1,171,718.00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5,831,438.95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rPr>
          <w:b/>
          <w:bCs/>
        </w:rPr>
      </w:pPr>
    </w:p>
    <w:p>
      <w:pPr>
        <w:rPr>
          <w:b/>
          <w:bCs/>
        </w:rPr>
      </w:pPr>
    </w:p>
    <w:p>
      <w:pPr>
        <w:pStyle w:val="5"/>
        <w:keepNext w:val="0"/>
        <w:keepLines w:val="0"/>
        <w:pageBreakBefore w:val="0"/>
        <w:widowControl/>
        <w:tabs>
          <w:tab w:val="right" w:leader="dot" w:pos="9230"/>
        </w:tabs>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四、财政拨款收入支出决算总体情况说明</w:t>
      </w:r>
    </w:p>
    <w:tbl>
      <w:tblPr>
        <w:tblStyle w:val="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01"/>
        <w:gridCol w:w="408"/>
        <w:gridCol w:w="1367"/>
        <w:gridCol w:w="3093"/>
        <w:gridCol w:w="408"/>
        <w:gridCol w:w="1367"/>
        <w:gridCol w:w="1367"/>
        <w:gridCol w:w="408"/>
        <w:gridCol w:w="1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部门：山西省忻州市五台山风景名胜区综合行政执法局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0" w:type="auto"/>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0" w:type="auto"/>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7,056,908.97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7,003,156.95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7,003,156.95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7,056,908.97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7,050,016.47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7,050,016.47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10,605.17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17,497.67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17,497.67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10,605.17</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7,067,514.14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7,067,514.14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7,067,514.14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rPr>
          <w:b/>
          <w:bCs/>
        </w:rPr>
      </w:pPr>
    </w:p>
    <w:p>
      <w:pPr>
        <w:rPr>
          <w:b/>
          <w:bCs/>
        </w:rPr>
      </w:pPr>
    </w:p>
    <w:p>
      <w:pPr>
        <w:rPr>
          <w:b/>
          <w:bCs/>
        </w:rPr>
      </w:pPr>
    </w:p>
    <w:p>
      <w:pPr>
        <w:rPr>
          <w:b/>
          <w:bCs/>
        </w:rPr>
      </w:pPr>
    </w:p>
    <w:p>
      <w:pPr>
        <w:numPr>
          <w:ilvl w:val="0"/>
          <w:numId w:val="2"/>
        </w:num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一般公共预算财政拨款收入支出决算总表</w:t>
      </w:r>
    </w:p>
    <w:tbl>
      <w:tblPr>
        <w:tblStyle w:val="2"/>
        <w:tblW w:w="11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16"/>
        <w:gridCol w:w="222"/>
        <w:gridCol w:w="222"/>
        <w:gridCol w:w="3956"/>
        <w:gridCol w:w="1547"/>
        <w:gridCol w:w="1547"/>
        <w:gridCol w:w="15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部门：山西省忻州市五台山风景名胜区综合行政执法局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7,050,016.47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1,218,577.52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5,831,438.95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7,003,156.95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1,171,718.00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5,831,438.95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7,003,156.95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1,171,718.00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5,831,438.95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法制建设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7,003,156.95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1,171,718.00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5,831,438.95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numPr>
          <w:ilvl w:val="0"/>
          <w:numId w:val="0"/>
        </w:numPr>
        <w:jc w:val="both"/>
        <w:rPr>
          <w:rFonts w:hint="eastAsia" w:ascii="宋体" w:hAnsi="宋体" w:eastAsia="宋体" w:cs="宋体"/>
          <w:sz w:val="32"/>
          <w:szCs w:val="32"/>
          <w:lang w:val="en-US" w:eastAsia="zh-CN"/>
        </w:rPr>
      </w:pPr>
    </w:p>
    <w:p>
      <w:pPr>
        <w:numPr>
          <w:ilvl w:val="0"/>
          <w:numId w:val="0"/>
        </w:numPr>
        <w:jc w:val="both"/>
        <w:rPr>
          <w:rFonts w:hint="eastAsia" w:ascii="宋体" w:hAnsi="宋体" w:eastAsia="宋体" w:cs="宋体"/>
          <w:sz w:val="32"/>
          <w:szCs w:val="32"/>
          <w:lang w:val="en-US" w:eastAsia="zh-CN"/>
        </w:rPr>
      </w:pPr>
    </w:p>
    <w:p>
      <w:pPr>
        <w:numPr>
          <w:ilvl w:val="0"/>
          <w:numId w:val="0"/>
        </w:numPr>
        <w:jc w:val="both"/>
        <w:rPr>
          <w:rFonts w:hint="eastAsia" w:ascii="宋体" w:hAnsi="宋体" w:eastAsia="宋体" w:cs="宋体"/>
          <w:sz w:val="32"/>
          <w:szCs w:val="32"/>
          <w:lang w:val="en-US" w:eastAsia="zh-CN"/>
        </w:rPr>
      </w:pPr>
    </w:p>
    <w:p>
      <w:pPr>
        <w:numPr>
          <w:ilvl w:val="0"/>
          <w:numId w:val="0"/>
        </w:numPr>
        <w:jc w:val="both"/>
        <w:rPr>
          <w:rFonts w:hint="eastAsia" w:ascii="宋体" w:hAnsi="宋体" w:eastAsia="宋体" w:cs="宋体"/>
          <w:sz w:val="32"/>
          <w:szCs w:val="32"/>
          <w:lang w:val="en-US" w:eastAsia="zh-CN"/>
        </w:rPr>
      </w:pPr>
    </w:p>
    <w:p>
      <w:pPr>
        <w:numPr>
          <w:ilvl w:val="0"/>
          <w:numId w:val="0"/>
        </w:numPr>
        <w:jc w:val="both"/>
        <w:rPr>
          <w:rFonts w:hint="eastAsia" w:ascii="宋体" w:hAnsi="宋体" w:eastAsia="宋体" w:cs="宋体"/>
          <w:sz w:val="32"/>
          <w:szCs w:val="32"/>
          <w:lang w:val="en-US" w:eastAsia="zh-CN"/>
        </w:rPr>
      </w:pPr>
    </w:p>
    <w:p>
      <w:pPr>
        <w:numPr>
          <w:ilvl w:val="0"/>
          <w:numId w:val="0"/>
        </w:numPr>
        <w:jc w:val="both"/>
        <w:rPr>
          <w:rFonts w:hint="eastAsia" w:ascii="宋体" w:hAnsi="宋体" w:eastAsia="宋体" w:cs="宋体"/>
          <w:sz w:val="32"/>
          <w:szCs w:val="32"/>
          <w:lang w:val="en-US" w:eastAsia="zh-CN"/>
        </w:rPr>
      </w:pPr>
    </w:p>
    <w:p>
      <w:pPr>
        <w:numPr>
          <w:ilvl w:val="0"/>
          <w:numId w:val="0"/>
        </w:numPr>
        <w:jc w:val="both"/>
        <w:rPr>
          <w:rFonts w:hint="eastAsia" w:ascii="宋体" w:hAnsi="宋体" w:eastAsia="宋体" w:cs="宋体"/>
          <w:sz w:val="32"/>
          <w:szCs w:val="32"/>
          <w:lang w:val="en-US" w:eastAsia="zh-CN"/>
        </w:rPr>
      </w:pPr>
    </w:p>
    <w:p>
      <w:pPr>
        <w:numPr>
          <w:ilvl w:val="0"/>
          <w:numId w:val="0"/>
        </w:numPr>
        <w:jc w:val="both"/>
        <w:rPr>
          <w:rFonts w:hint="eastAsia" w:ascii="宋体" w:hAnsi="宋体" w:eastAsia="宋体" w:cs="宋体"/>
          <w:sz w:val="32"/>
          <w:szCs w:val="32"/>
          <w:lang w:val="en-US" w:eastAsia="zh-CN"/>
        </w:rPr>
      </w:pPr>
    </w:p>
    <w:p>
      <w:pPr>
        <w:pStyle w:val="5"/>
        <w:keepNext w:val="0"/>
        <w:keepLines w:val="0"/>
        <w:pageBreakBefore w:val="0"/>
        <w:widowControl/>
        <w:numPr>
          <w:ilvl w:val="0"/>
          <w:numId w:val="2"/>
        </w:numPr>
        <w:tabs>
          <w:tab w:val="right" w:leader="dot" w:pos="9230"/>
        </w:tabs>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一般公共预算财政拨款基本支出决算表</w:t>
      </w:r>
    </w:p>
    <w:tbl>
      <w:tblPr>
        <w:tblStyle w:val="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50"/>
        <w:gridCol w:w="1478"/>
        <w:gridCol w:w="637"/>
        <w:gridCol w:w="637"/>
        <w:gridCol w:w="426"/>
        <w:gridCol w:w="1057"/>
        <w:gridCol w:w="721"/>
        <w:gridCol w:w="637"/>
        <w:gridCol w:w="426"/>
        <w:gridCol w:w="1225"/>
        <w:gridCol w:w="637"/>
        <w:gridCol w:w="552"/>
        <w:gridCol w:w="426"/>
        <w:gridCol w:w="1814"/>
        <w:gridCol w:w="721"/>
        <w:gridCol w:w="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gridSpan w:val="1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部门：山西省忻州市五台山风景名胜区综合行政执法局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0" w:type="auto"/>
            <w:gridSpan w:val="12"/>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其中：基本支出</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其中：基本支出</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其中：基本支出</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487,183.52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487,183.52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6,194,173.00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729,394.00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183,698.00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183,698.00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7,716.00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7,716.00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212,037.00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74,101.00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14,422.00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国内债务发行费用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国外债务发行费用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资本性支出（基本建设）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46,859.52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49,635.00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房屋构筑物构建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2,972.00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对企业补助（基本建设）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14,997.00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资本金注入</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其他对企业补助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4,757.80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4,757.80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28,968.00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28,968.00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资本金注入</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政府投资基金股权投资</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费用补贴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利息补贴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其他对企业补助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对社会保障基金补助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对社会保障基金补助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368,659.95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补充全国社会保障基金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房屋构筑物构建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对机关事业单位职业年金的补助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5,938,427.70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603,427.70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11,440.00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368,659.95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487,183.52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487,183.52</w:t>
            </w:r>
          </w:p>
        </w:tc>
        <w:tc>
          <w:tcPr>
            <w:tcW w:w="0" w:type="auto"/>
            <w:gridSpan w:val="10"/>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6,562,832.95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731,394.00</w:t>
            </w:r>
          </w:p>
        </w:tc>
      </w:tr>
    </w:tbl>
    <w:p>
      <w:pPr>
        <w:pStyle w:val="5"/>
        <w:keepNext w:val="0"/>
        <w:keepLines w:val="0"/>
        <w:pageBreakBefore w:val="0"/>
        <w:widowControl/>
        <w:numPr>
          <w:ilvl w:val="0"/>
          <w:numId w:val="0"/>
        </w:numPr>
        <w:tabs>
          <w:tab w:val="right" w:leader="dot" w:pos="9230"/>
        </w:tabs>
        <w:kinsoku/>
        <w:wordWrap/>
        <w:overflowPunct/>
        <w:topLinePunct w:val="0"/>
        <w:autoSpaceDE/>
        <w:autoSpaceDN/>
        <w:bidi w:val="0"/>
        <w:adjustRightInd/>
        <w:snapToGrid/>
        <w:spacing w:line="360" w:lineRule="auto"/>
        <w:ind w:leftChars="0"/>
        <w:jc w:val="both"/>
        <w:textAlignment w:val="auto"/>
        <w:outlineLvl w:val="9"/>
        <w:rPr>
          <w:rFonts w:hint="default" w:ascii="宋体" w:hAnsi="宋体" w:eastAsia="宋体" w:cs="宋体"/>
          <w:sz w:val="32"/>
          <w:szCs w:val="32"/>
          <w:lang w:val="en-US" w:eastAsia="zh-CN"/>
        </w:rPr>
      </w:pPr>
    </w:p>
    <w:p>
      <w:pPr>
        <w:numPr>
          <w:ilvl w:val="0"/>
          <w:numId w:val="0"/>
        </w:numPr>
        <w:jc w:val="both"/>
        <w:rPr>
          <w:rFonts w:hint="eastAsia" w:ascii="宋体" w:hAnsi="宋体" w:eastAsia="宋体" w:cs="宋体"/>
          <w:sz w:val="32"/>
          <w:szCs w:val="32"/>
          <w:lang w:val="en-US" w:eastAsia="zh-CN"/>
        </w:rPr>
      </w:pPr>
    </w:p>
    <w:p>
      <w:pPr>
        <w:numPr>
          <w:ilvl w:val="0"/>
          <w:numId w:val="0"/>
        </w:numPr>
        <w:jc w:val="both"/>
        <w:rPr>
          <w:rFonts w:hint="eastAsia" w:ascii="宋体" w:hAnsi="宋体" w:eastAsia="宋体" w:cs="宋体"/>
          <w:sz w:val="32"/>
          <w:szCs w:val="32"/>
          <w:lang w:val="en-US" w:eastAsia="zh-CN"/>
        </w:rPr>
      </w:pPr>
    </w:p>
    <w:p>
      <w:pPr>
        <w:pStyle w:val="5"/>
        <w:keepNext w:val="0"/>
        <w:keepLines w:val="0"/>
        <w:pageBreakBefore w:val="0"/>
        <w:widowControl/>
        <w:numPr>
          <w:ilvl w:val="0"/>
          <w:numId w:val="2"/>
        </w:numPr>
        <w:tabs>
          <w:tab w:val="right" w:leader="dot" w:pos="9230"/>
        </w:tabs>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一般公共预算财政拨款“三公”经费支出决算表</w:t>
      </w:r>
    </w:p>
    <w:tbl>
      <w:tblPr>
        <w:tblStyle w:val="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29"/>
        <w:gridCol w:w="1169"/>
        <w:gridCol w:w="495"/>
        <w:gridCol w:w="785"/>
        <w:gridCol w:w="785"/>
        <w:gridCol w:w="669"/>
        <w:gridCol w:w="495"/>
        <w:gridCol w:w="1169"/>
        <w:gridCol w:w="495"/>
        <w:gridCol w:w="785"/>
        <w:gridCol w:w="785"/>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部门：山西省忻州市五台山风景名胜区综合行政执法局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0" w:type="auto"/>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0" w:type="auto"/>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0" w:type="auto"/>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pStyle w:val="5"/>
        <w:keepNext w:val="0"/>
        <w:keepLines w:val="0"/>
        <w:pageBreakBefore w:val="0"/>
        <w:widowControl/>
        <w:numPr>
          <w:ilvl w:val="0"/>
          <w:numId w:val="0"/>
        </w:numPr>
        <w:tabs>
          <w:tab w:val="right" w:leader="dot" w:pos="9230"/>
        </w:tabs>
        <w:kinsoku/>
        <w:wordWrap/>
        <w:overflowPunct/>
        <w:topLinePunct w:val="0"/>
        <w:autoSpaceDE/>
        <w:autoSpaceDN/>
        <w:bidi w:val="0"/>
        <w:adjustRightInd/>
        <w:snapToGrid/>
        <w:spacing w:line="360" w:lineRule="auto"/>
        <w:ind w:leftChars="0"/>
        <w:jc w:val="both"/>
        <w:textAlignment w:val="auto"/>
        <w:outlineLvl w:val="9"/>
        <w:rPr>
          <w:rFonts w:hint="default" w:ascii="宋体" w:hAnsi="宋体" w:eastAsia="宋体" w:cs="宋体"/>
          <w:sz w:val="32"/>
          <w:szCs w:val="32"/>
          <w:lang w:val="en-US" w:eastAsia="zh-CN"/>
        </w:rPr>
      </w:pPr>
    </w:p>
    <w:p>
      <w:pPr>
        <w:numPr>
          <w:ilvl w:val="0"/>
          <w:numId w:val="2"/>
        </w:numPr>
        <w:ind w:left="0" w:leftChars="0" w:firstLine="0" w:firstLineChars="0"/>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政府性基金预算财政拨款收入支出决算表</w:t>
      </w:r>
    </w:p>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16"/>
        <w:gridCol w:w="222"/>
        <w:gridCol w:w="222"/>
        <w:gridCol w:w="1096"/>
        <w:gridCol w:w="1756"/>
        <w:gridCol w:w="1096"/>
        <w:gridCol w:w="656"/>
        <w:gridCol w:w="1096"/>
        <w:gridCol w:w="1096"/>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rPr>
        <w:tc>
          <w:tcPr>
            <w:tcW w:w="0" w:type="auto"/>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部门：山西省忻州市五台山风景名胜区综合行政执法局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0" w:type="auto"/>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br w:type="page"/>
      </w:r>
    </w:p>
    <w:p>
      <w:pPr>
        <w:numPr>
          <w:ilvl w:val="0"/>
          <w:numId w:val="0"/>
        </w:numPr>
        <w:ind w:leftChars="0"/>
        <w:jc w:val="both"/>
        <w:rPr>
          <w:rFonts w:hint="eastAsia" w:ascii="宋体" w:hAnsi="宋体" w:eastAsia="宋体" w:cs="宋体"/>
          <w:sz w:val="32"/>
          <w:szCs w:val="32"/>
          <w:lang w:val="en-US" w:eastAsia="zh-CN"/>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uto"/>
        <w:textAlignment w:val="auto"/>
        <w:rPr>
          <w:sz w:val="24"/>
          <w:szCs w:val="21"/>
        </w:rPr>
      </w:pPr>
      <w:r>
        <w:rPr>
          <w:rFonts w:hint="eastAsia"/>
          <w:b/>
          <w:bCs/>
        </w:rPr>
        <w:t xml:space="preserve">第三部门  </w:t>
      </w:r>
      <w:r>
        <w:rPr>
          <w:rFonts w:hint="eastAsia"/>
          <w:b/>
          <w:bCs/>
          <w:lang w:eastAsia="zh-CN"/>
        </w:rPr>
        <w:t>20</w:t>
      </w:r>
      <w:r>
        <w:rPr>
          <w:rFonts w:hint="eastAsia"/>
          <w:b/>
          <w:bCs/>
          <w:lang w:val="en-US" w:eastAsia="zh-CN"/>
        </w:rPr>
        <w:t>21</w:t>
      </w:r>
      <w:bookmarkStart w:id="22" w:name="_GoBack"/>
      <w:bookmarkEnd w:id="22"/>
      <w:r>
        <w:rPr>
          <w:rFonts w:hint="eastAsia"/>
          <w:b/>
          <w:bCs/>
        </w:rPr>
        <w:t>年度部门决算情况说明</w:t>
      </w: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textAlignment w:val="auto"/>
        <w:rPr>
          <w:rFonts w:hint="eastAsia"/>
          <w:b/>
          <w:bCs/>
        </w:rPr>
      </w:pPr>
      <w:bookmarkStart w:id="3" w:name="_Toc7494_WPSOffice_Level1"/>
      <w:r>
        <w:rPr>
          <w:rFonts w:hint="eastAsia"/>
          <w:b/>
          <w:bCs/>
        </w:rPr>
        <w:t>一、收入</w:t>
      </w:r>
      <w:r>
        <w:rPr>
          <w:rFonts w:hint="eastAsia"/>
          <w:b/>
          <w:bCs/>
          <w:lang w:eastAsia="zh-CN"/>
        </w:rPr>
        <w:t>、</w:t>
      </w:r>
      <w:r>
        <w:rPr>
          <w:rFonts w:hint="eastAsia"/>
          <w:b/>
          <w:bCs/>
          <w:lang w:val="en-US" w:eastAsia="zh-CN"/>
        </w:rPr>
        <w:t>支出</w:t>
      </w:r>
      <w:r>
        <w:rPr>
          <w:rFonts w:hint="eastAsia"/>
          <w:b/>
          <w:bCs/>
        </w:rPr>
        <w:t>决算</w:t>
      </w:r>
      <w:r>
        <w:rPr>
          <w:rFonts w:hint="eastAsia"/>
          <w:b/>
          <w:bCs/>
          <w:lang w:val="en-US" w:eastAsia="zh-CN"/>
        </w:rPr>
        <w:t>总体</w:t>
      </w:r>
      <w:r>
        <w:rPr>
          <w:rFonts w:hint="eastAsia"/>
          <w:b/>
          <w:bCs/>
        </w:rPr>
        <w:t>情况说明</w:t>
      </w:r>
      <w:bookmarkEnd w:id="3"/>
    </w:p>
    <w:p>
      <w:pPr>
        <w:numPr>
          <w:ilvl w:val="0"/>
          <w:numId w:val="0"/>
        </w:numPr>
        <w:ind w:left="320" w:leftChars="100" w:firstLine="320" w:firstLineChars="100"/>
        <w:rPr>
          <w:rFonts w:hint="eastAsia"/>
          <w:lang w:val="en-US" w:eastAsia="zh-CN"/>
        </w:rPr>
      </w:pPr>
      <w:bookmarkStart w:id="4" w:name="_Toc2047_WPSOffice_Level1"/>
      <w:r>
        <w:rPr>
          <w:rFonts w:hint="eastAsia"/>
          <w:lang w:val="en-US" w:eastAsia="zh-CN"/>
        </w:rPr>
        <w:t>2021年财政拨款收入总计705.7万元，2020年收入、支出727.72万元，与上年相比，减少22.02万元；2021年财政拨款支出总计705万元。2020年合计727.72万元，与上年相比，减少22.72万元。</w:t>
      </w: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textAlignment w:val="auto"/>
        <w:rPr>
          <w:rFonts w:hint="eastAsia"/>
          <w:b/>
          <w:bCs/>
        </w:rPr>
      </w:pPr>
      <w:r>
        <w:rPr>
          <w:rFonts w:hint="eastAsia"/>
          <w:b/>
          <w:bCs/>
        </w:rPr>
        <w:t>二、</w:t>
      </w:r>
      <w:r>
        <w:rPr>
          <w:rFonts w:hint="eastAsia"/>
          <w:b/>
          <w:bCs/>
          <w:lang w:val="en-US" w:eastAsia="zh-CN"/>
        </w:rPr>
        <w:t>收入</w:t>
      </w:r>
      <w:r>
        <w:rPr>
          <w:rFonts w:hint="eastAsia"/>
          <w:b/>
          <w:bCs/>
        </w:rPr>
        <w:t>决算情况说明</w:t>
      </w:r>
      <w:bookmarkEnd w:id="4"/>
    </w:p>
    <w:p>
      <w:pPr>
        <w:ind w:firstLine="640" w:firstLineChars="200"/>
        <w:rPr>
          <w:rFonts w:hint="default"/>
          <w:lang w:val="en-US" w:eastAsia="zh-CN"/>
        </w:rPr>
      </w:pPr>
      <w:r>
        <w:rPr>
          <w:rFonts w:hint="eastAsia"/>
          <w:lang w:val="en-US" w:eastAsia="zh-CN"/>
        </w:rPr>
        <w:t>2021年收入合计705.7万元，其中：财政拨款收入705.69万元，占99.99%；其他收入0.01万元，占0.01%。</w:t>
      </w: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textAlignment w:val="auto"/>
        <w:rPr>
          <w:rFonts w:hint="eastAsia"/>
          <w:b/>
          <w:bCs/>
          <w:lang w:val="en-US" w:eastAsia="zh-CN"/>
        </w:rPr>
      </w:pPr>
      <w:r>
        <w:rPr>
          <w:rFonts w:hint="eastAsia"/>
          <w:b/>
          <w:bCs/>
          <w:lang w:val="en-US" w:eastAsia="zh-CN"/>
        </w:rPr>
        <w:t>三、支出决算情况说明</w:t>
      </w:r>
    </w:p>
    <w:p>
      <w:pPr>
        <w:numPr>
          <w:ilvl w:val="0"/>
          <w:numId w:val="0"/>
        </w:numPr>
        <w:rPr>
          <w:rFonts w:hint="default"/>
          <w:lang w:val="en-US" w:eastAsia="zh-CN"/>
        </w:rPr>
      </w:pPr>
      <w:r>
        <w:rPr>
          <w:rFonts w:hint="eastAsia"/>
          <w:lang w:val="en-US" w:eastAsia="zh-CN"/>
        </w:rPr>
        <w:t xml:space="preserve">    2021年支出合计705万元，其中：基本支出121.86万元，占17.29%;项目支出583.14万元，占82.71%。</w:t>
      </w:r>
    </w:p>
    <w:p>
      <w:pPr>
        <w:keepNext w:val="0"/>
        <w:keepLines w:val="0"/>
        <w:pageBreakBefore w:val="0"/>
        <w:widowControl w:val="0"/>
        <w:numPr>
          <w:ilvl w:val="0"/>
          <w:numId w:val="3"/>
        </w:numPr>
        <w:kinsoku/>
        <w:wordWrap/>
        <w:overflowPunct/>
        <w:topLinePunct w:val="0"/>
        <w:autoSpaceDE/>
        <w:autoSpaceDN/>
        <w:bidi w:val="0"/>
        <w:adjustRightInd/>
        <w:snapToGrid/>
        <w:spacing w:line="480" w:lineRule="auto"/>
        <w:ind w:firstLine="643" w:firstLineChars="200"/>
        <w:textAlignment w:val="auto"/>
        <w:rPr>
          <w:rFonts w:hint="eastAsia"/>
          <w:b/>
          <w:bCs/>
          <w:lang w:val="en-US" w:eastAsia="zh-CN"/>
        </w:rPr>
      </w:pPr>
      <w:r>
        <w:rPr>
          <w:rFonts w:hint="eastAsia"/>
          <w:b/>
          <w:bCs/>
          <w:lang w:val="en-US" w:eastAsia="zh-CN"/>
        </w:rPr>
        <w:t>财政拨款收入支出决算总体情况说明</w:t>
      </w:r>
    </w:p>
    <w:p>
      <w:pPr>
        <w:numPr>
          <w:ilvl w:val="0"/>
          <w:numId w:val="0"/>
        </w:numPr>
        <w:ind w:left="320" w:leftChars="100" w:firstLine="320" w:firstLineChars="100"/>
        <w:rPr>
          <w:rFonts w:hint="eastAsia"/>
          <w:lang w:val="en-US" w:eastAsia="zh-CN"/>
        </w:rPr>
      </w:pPr>
      <w:r>
        <w:rPr>
          <w:rFonts w:hint="eastAsia"/>
          <w:lang w:val="en-US" w:eastAsia="zh-CN"/>
        </w:rPr>
        <w:t>2021年财政拨款收入总计705.7万元，2020年收入、支出727.72万元，与上年相比，减少22.02万元；2021年财政拨款支出总计705万元。2020年合计727.72万元，与上年相比，减少22.72万元。</w:t>
      </w:r>
    </w:p>
    <w:p>
      <w:pPr>
        <w:keepNext w:val="0"/>
        <w:keepLines w:val="0"/>
        <w:pageBreakBefore w:val="0"/>
        <w:widowControl w:val="0"/>
        <w:numPr>
          <w:ilvl w:val="0"/>
          <w:numId w:val="3"/>
        </w:numPr>
        <w:kinsoku/>
        <w:wordWrap/>
        <w:overflowPunct/>
        <w:topLinePunct w:val="0"/>
        <w:autoSpaceDE/>
        <w:autoSpaceDN/>
        <w:bidi w:val="0"/>
        <w:adjustRightInd/>
        <w:snapToGrid/>
        <w:spacing w:line="480" w:lineRule="auto"/>
        <w:ind w:left="0" w:leftChars="0" w:firstLine="643" w:firstLineChars="200"/>
        <w:textAlignment w:val="auto"/>
        <w:rPr>
          <w:rFonts w:hint="eastAsia"/>
          <w:b/>
          <w:bCs/>
          <w:lang w:val="en-US" w:eastAsia="zh-CN"/>
        </w:rPr>
      </w:pPr>
      <w:r>
        <w:rPr>
          <w:rFonts w:hint="eastAsia"/>
          <w:b/>
          <w:bCs/>
          <w:lang w:val="en-US" w:eastAsia="zh-CN"/>
        </w:rPr>
        <w:t>一般公共预算财政拨款支出决算情况说明</w:t>
      </w:r>
    </w:p>
    <w:p>
      <w:pPr>
        <w:numPr>
          <w:ilvl w:val="0"/>
          <w:numId w:val="0"/>
        </w:numPr>
        <w:ind w:leftChars="200"/>
        <w:rPr>
          <w:rFonts w:hint="default"/>
          <w:lang w:val="en-US" w:eastAsia="zh-CN"/>
        </w:rPr>
      </w:pPr>
      <w:r>
        <w:rPr>
          <w:rFonts w:hint="eastAsia"/>
          <w:lang w:val="en-US" w:eastAsia="zh-CN"/>
        </w:rPr>
        <w:t>（一）财政拨款支出决算总体说明</w:t>
      </w:r>
    </w:p>
    <w:p>
      <w:pPr>
        <w:numPr>
          <w:ilvl w:val="0"/>
          <w:numId w:val="0"/>
        </w:numPr>
        <w:ind w:firstLine="640" w:firstLineChars="200"/>
        <w:rPr>
          <w:rFonts w:hint="eastAsia"/>
          <w:lang w:val="en-US" w:eastAsia="zh-CN"/>
        </w:rPr>
      </w:pPr>
      <w:r>
        <w:rPr>
          <w:rFonts w:hint="eastAsia"/>
          <w:lang w:val="en-US" w:eastAsia="zh-CN"/>
        </w:rPr>
        <w:t>2021年度财政拨款支出705万元，占本年支出合计的99.9%。</w:t>
      </w:r>
    </w:p>
    <w:p>
      <w:pPr>
        <w:numPr>
          <w:ilvl w:val="0"/>
          <w:numId w:val="4"/>
        </w:numPr>
        <w:ind w:leftChars="200"/>
        <w:rPr>
          <w:rFonts w:hint="eastAsia"/>
          <w:lang w:val="en-US" w:eastAsia="zh-CN"/>
        </w:rPr>
      </w:pPr>
      <w:r>
        <w:rPr>
          <w:rFonts w:hint="eastAsia"/>
          <w:lang w:val="en-US" w:eastAsia="zh-CN"/>
        </w:rPr>
        <w:t>财政拨款支出决算结构情况</w:t>
      </w:r>
    </w:p>
    <w:p>
      <w:pPr>
        <w:numPr>
          <w:ilvl w:val="0"/>
          <w:numId w:val="0"/>
        </w:numPr>
        <w:ind w:firstLine="640"/>
        <w:rPr>
          <w:rFonts w:hint="default"/>
          <w:lang w:val="en-US" w:eastAsia="zh-CN"/>
        </w:rPr>
      </w:pPr>
      <w:r>
        <w:rPr>
          <w:rFonts w:hint="eastAsia"/>
          <w:lang w:val="en-US" w:eastAsia="zh-CN"/>
        </w:rPr>
        <w:t>2021年度财政拨款支出705万元，主要用于以下方面：工资福利支出48.71万元，占6.9%，商品和服务支出619.42万元，占87.8%，资本性支出36.87万元，占5.3%。</w:t>
      </w:r>
    </w:p>
    <w:p>
      <w:pPr>
        <w:keepNext w:val="0"/>
        <w:keepLines w:val="0"/>
        <w:pageBreakBefore w:val="0"/>
        <w:widowControl w:val="0"/>
        <w:numPr>
          <w:ilvl w:val="0"/>
          <w:numId w:val="3"/>
        </w:numPr>
        <w:kinsoku/>
        <w:wordWrap/>
        <w:overflowPunct/>
        <w:topLinePunct w:val="0"/>
        <w:autoSpaceDE/>
        <w:autoSpaceDN/>
        <w:bidi w:val="0"/>
        <w:adjustRightInd/>
        <w:snapToGrid/>
        <w:spacing w:line="480" w:lineRule="auto"/>
        <w:ind w:left="0" w:leftChars="0" w:firstLine="643" w:firstLineChars="200"/>
        <w:textAlignment w:val="auto"/>
        <w:rPr>
          <w:rFonts w:hint="eastAsia"/>
          <w:b/>
          <w:bCs/>
          <w:lang w:val="en-US" w:eastAsia="zh-CN"/>
        </w:rPr>
      </w:pPr>
      <w:r>
        <w:rPr>
          <w:rFonts w:hint="eastAsia"/>
          <w:b/>
          <w:bCs/>
          <w:lang w:val="en-US" w:eastAsia="zh-CN"/>
        </w:rPr>
        <w:t>一般公共预算财政拨款基本支出决算情况说明</w:t>
      </w:r>
    </w:p>
    <w:p>
      <w:pPr>
        <w:numPr>
          <w:ilvl w:val="0"/>
          <w:numId w:val="0"/>
        </w:numPr>
        <w:ind w:firstLine="640" w:firstLineChars="200"/>
        <w:rPr>
          <w:rFonts w:hint="default"/>
          <w:lang w:val="en-US" w:eastAsia="zh-CN"/>
        </w:rPr>
      </w:pPr>
      <w:r>
        <w:rPr>
          <w:rFonts w:hint="eastAsia"/>
          <w:lang w:val="en-US" w:eastAsia="zh-CN"/>
        </w:rPr>
        <w:t>2021年财政拨款基本支出668.14万元，其中：人员经费48.72万元，主要包括基本工资、津贴补贴、奖金、机关事业单位基本养老保险缴费、职工基本医疗保险缴费、其他社会保障缴费、住房公积金；公用经费619.42万元，主要包括办公费、印刷费、手续费、电费、邮电费、差旅费、劳务费、委托业务费、工会经费、福利费、其他交通费用。</w:t>
      </w: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textAlignment w:val="auto"/>
        <w:rPr>
          <w:rFonts w:hint="default"/>
          <w:b/>
          <w:bCs/>
          <w:lang w:val="en-US" w:eastAsia="zh-CN"/>
        </w:rPr>
      </w:pPr>
      <w:r>
        <w:rPr>
          <w:rFonts w:hint="eastAsia"/>
          <w:b/>
          <w:bCs/>
          <w:lang w:val="en-US" w:eastAsia="zh-CN"/>
        </w:rPr>
        <w:t>七、一般公共预算财政拨款“三公”经费支出决算情况说明</w:t>
      </w:r>
    </w:p>
    <w:p>
      <w:pPr>
        <w:ind w:firstLine="640" w:firstLineChars="200"/>
        <w:rPr>
          <w:rFonts w:hint="eastAsia" w:eastAsia="仿宋"/>
          <w:lang w:val="en-US" w:eastAsia="zh-CN"/>
        </w:rPr>
      </w:pPr>
      <w:r>
        <w:rPr>
          <w:rFonts w:hint="eastAsia"/>
          <w:lang w:val="en-US" w:eastAsia="zh-CN"/>
        </w:rPr>
        <w:t>我单位本年无“三公”经费支出。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textAlignment w:val="auto"/>
        <w:rPr>
          <w:rFonts w:hint="default"/>
          <w:b/>
          <w:bCs/>
          <w:lang w:val="en-US" w:eastAsia="zh-CN"/>
        </w:rPr>
      </w:pPr>
      <w:r>
        <w:rPr>
          <w:rFonts w:hint="eastAsia"/>
          <w:b/>
          <w:bCs/>
          <w:lang w:val="en-US" w:eastAsia="zh-CN"/>
        </w:rPr>
        <w:t>八、政府性基金预算拨款收入支出情况说明</w:t>
      </w:r>
    </w:p>
    <w:p>
      <w:pPr>
        <w:ind w:firstLine="640" w:firstLineChars="200"/>
        <w:rPr>
          <w:rFonts w:hint="eastAsia"/>
        </w:rPr>
      </w:pPr>
      <w:r>
        <w:rPr>
          <w:rFonts w:hint="eastAsia"/>
          <w:lang w:val="en-US" w:eastAsia="zh-CN"/>
        </w:rPr>
        <w:t>我单位本年无政府性基金预算拨款和支出。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textAlignment w:val="auto"/>
        <w:rPr>
          <w:rFonts w:hint="eastAsia"/>
          <w:b/>
          <w:bCs/>
          <w:lang w:val="en-US" w:eastAsia="zh-CN"/>
        </w:rPr>
      </w:pPr>
      <w:r>
        <w:rPr>
          <w:rFonts w:hint="eastAsia"/>
          <w:b/>
          <w:bCs/>
          <w:lang w:val="en-US" w:eastAsia="zh-CN"/>
        </w:rPr>
        <w:t>九、其他重要事项情况说明</w:t>
      </w:r>
    </w:p>
    <w:p>
      <w:pPr>
        <w:numPr>
          <w:ilvl w:val="0"/>
          <w:numId w:val="0"/>
        </w:numPr>
        <w:ind w:firstLine="640" w:firstLineChars="200"/>
        <w:rPr>
          <w:rFonts w:hint="eastAsia"/>
          <w:lang w:val="en-US" w:eastAsia="zh-CN"/>
        </w:rPr>
      </w:pPr>
      <w:r>
        <w:rPr>
          <w:rFonts w:hint="eastAsia"/>
          <w:lang w:val="en-US" w:eastAsia="zh-CN"/>
        </w:rPr>
        <w:t>（一）机关运行经费支出情况</w:t>
      </w:r>
    </w:p>
    <w:p>
      <w:pPr>
        <w:numPr>
          <w:ilvl w:val="0"/>
          <w:numId w:val="0"/>
        </w:numPr>
        <w:ind w:firstLine="640" w:firstLineChars="200"/>
        <w:rPr>
          <w:rFonts w:hint="eastAsia"/>
          <w:lang w:val="en-US" w:eastAsia="zh-CN"/>
        </w:rPr>
      </w:pPr>
      <w:r>
        <w:rPr>
          <w:rFonts w:hint="eastAsia"/>
          <w:lang w:val="en-US" w:eastAsia="zh-CN"/>
        </w:rPr>
        <w:t>我单位2021年度机关运行经费支出619.42万元。用于一般公共预算安排的基本支出中的日常公用经费支出。</w:t>
      </w:r>
    </w:p>
    <w:p>
      <w:pPr>
        <w:numPr>
          <w:ilvl w:val="0"/>
          <w:numId w:val="0"/>
        </w:numPr>
        <w:ind w:leftChars="200"/>
        <w:rPr>
          <w:rFonts w:hint="eastAsia"/>
          <w:lang w:val="en-US" w:eastAsia="zh-CN"/>
        </w:rPr>
      </w:pPr>
      <w:r>
        <w:rPr>
          <w:rFonts w:hint="eastAsia"/>
          <w:lang w:val="en-US" w:eastAsia="zh-CN"/>
        </w:rPr>
        <w:t>（二）政府采购支出情况</w:t>
      </w:r>
    </w:p>
    <w:p>
      <w:pPr>
        <w:numPr>
          <w:ilvl w:val="0"/>
          <w:numId w:val="0"/>
        </w:numPr>
        <w:ind w:leftChars="200"/>
        <w:rPr>
          <w:rFonts w:hint="eastAsia"/>
          <w:lang w:val="en-US" w:eastAsia="zh-CN"/>
        </w:rPr>
      </w:pPr>
      <w:r>
        <w:rPr>
          <w:rFonts w:hint="eastAsia"/>
          <w:lang w:val="en-US" w:eastAsia="zh-CN"/>
        </w:rPr>
        <w:t xml:space="preserve">  我单位本年度无政府采购支出。</w:t>
      </w:r>
    </w:p>
    <w:p>
      <w:pPr>
        <w:numPr>
          <w:ilvl w:val="0"/>
          <w:numId w:val="4"/>
        </w:numPr>
        <w:ind w:left="640" w:leftChars="200" w:firstLine="0" w:firstLineChars="0"/>
        <w:rPr>
          <w:rFonts w:hint="eastAsia"/>
          <w:lang w:val="en-US" w:eastAsia="zh-CN"/>
        </w:rPr>
      </w:pPr>
      <w:r>
        <w:rPr>
          <w:rFonts w:hint="eastAsia"/>
          <w:lang w:val="en-US" w:eastAsia="zh-CN"/>
        </w:rPr>
        <w:t>国有资产占用情况</w:t>
      </w:r>
    </w:p>
    <w:p>
      <w:pPr>
        <w:numPr>
          <w:ilvl w:val="0"/>
          <w:numId w:val="0"/>
        </w:numPr>
        <w:ind w:firstLine="640" w:firstLineChars="200"/>
        <w:rPr>
          <w:rFonts w:hint="eastAsia"/>
          <w:lang w:val="en-US" w:eastAsia="zh-CN"/>
        </w:rPr>
      </w:pPr>
      <w:r>
        <w:rPr>
          <w:rFonts w:hint="eastAsia"/>
          <w:lang w:val="en-US" w:eastAsia="zh-CN"/>
        </w:rPr>
        <w:t>截止2021年12月31日，我单位专用设备565.13万元，通用设备10.32万元，家具、用具、装具9.51万元，无形资产0.6万元。</w:t>
      </w:r>
    </w:p>
    <w:p>
      <w:pPr>
        <w:keepNext w:val="0"/>
        <w:keepLines w:val="0"/>
        <w:pageBreakBefore w:val="0"/>
        <w:widowControl w:val="0"/>
        <w:kinsoku/>
        <w:wordWrap/>
        <w:overflowPunct/>
        <w:topLinePunct w:val="0"/>
        <w:autoSpaceDE/>
        <w:autoSpaceDN/>
        <w:bidi w:val="0"/>
        <w:adjustRightInd/>
        <w:snapToGrid/>
        <w:spacing w:line="480" w:lineRule="auto"/>
        <w:textAlignment w:val="auto"/>
        <w:rPr>
          <w:b/>
          <w:bCs/>
          <w:sz w:val="24"/>
          <w:szCs w:val="21"/>
        </w:rPr>
      </w:pPr>
      <w:bookmarkStart w:id="5" w:name="_Toc1572_WPSOffice_Level1"/>
      <w:r>
        <w:rPr>
          <w:rFonts w:hint="eastAsia"/>
          <w:b/>
          <w:bCs/>
        </w:rPr>
        <w:t>第四部分 名词解释</w:t>
      </w:r>
      <w:bookmarkEnd w:id="5"/>
    </w:p>
    <w:p>
      <w:pPr>
        <w:ind w:firstLine="640" w:firstLineChars="200"/>
      </w:pPr>
      <w:bookmarkStart w:id="6" w:name="_Toc4894_WPSOffice_Level2"/>
      <w:bookmarkStart w:id="7" w:name="_Toc7842_WPSOffice_Level2"/>
      <w:r>
        <w:rPr>
          <w:rFonts w:hint="eastAsia"/>
        </w:rPr>
        <w:t>1、财政拨款收入：指市级财政当年拨付的资金。</w:t>
      </w:r>
      <w:bookmarkEnd w:id="6"/>
      <w:bookmarkEnd w:id="7"/>
    </w:p>
    <w:p>
      <w:pPr>
        <w:ind w:firstLine="640" w:firstLineChars="200"/>
      </w:pPr>
      <w:bookmarkStart w:id="8" w:name="_Toc27056_WPSOffice_Level2"/>
      <w:bookmarkStart w:id="9" w:name="_Toc16473_WPSOffice_Level2"/>
      <w:r>
        <w:rPr>
          <w:rFonts w:hint="eastAsia"/>
        </w:rPr>
        <w:t>2、其他收入：指除上述“财政拨款收入”等以外的收</w:t>
      </w:r>
      <w:bookmarkEnd w:id="8"/>
      <w:bookmarkEnd w:id="9"/>
    </w:p>
    <w:p>
      <w:r>
        <w:rPr>
          <w:rFonts w:hint="eastAsia"/>
        </w:rPr>
        <w:t>入，主要是存款利息收入等。</w:t>
      </w:r>
    </w:p>
    <w:p>
      <w:pPr>
        <w:ind w:firstLine="640" w:firstLineChars="200"/>
      </w:pPr>
      <w:bookmarkStart w:id="10" w:name="_Toc16973_WPSOffice_Level2"/>
      <w:bookmarkStart w:id="11" w:name="_Toc30393_WPSOffice_Level2"/>
      <w:r>
        <w:rPr>
          <w:rFonts w:hint="eastAsia"/>
        </w:rPr>
        <w:t>3、年初结转和结余：指以前年度工作目标尚未完成，</w:t>
      </w:r>
      <w:bookmarkEnd w:id="10"/>
      <w:bookmarkEnd w:id="11"/>
    </w:p>
    <w:p>
      <w:r>
        <w:rPr>
          <w:rFonts w:hint="eastAsia"/>
        </w:rPr>
        <w:t>结转到本年按有关规定继续使用的资金；或以前年度工作目</w:t>
      </w:r>
    </w:p>
    <w:p>
      <w:r>
        <w:rPr>
          <w:rFonts w:hint="eastAsia"/>
        </w:rPr>
        <w:t>标已完成，剩余的滚存资金。</w:t>
      </w:r>
    </w:p>
    <w:p>
      <w:pPr>
        <w:ind w:firstLine="640" w:firstLineChars="200"/>
      </w:pPr>
      <w:bookmarkStart w:id="12" w:name="_Toc19736_WPSOffice_Level2"/>
      <w:bookmarkStart w:id="13" w:name="_Toc4119_WPSOffice_Level2"/>
      <w:r>
        <w:rPr>
          <w:rFonts w:hint="eastAsia"/>
        </w:rPr>
        <w:t>4、年末结转和结余：指本年和以前年度工作目标尚未</w:t>
      </w:r>
      <w:bookmarkEnd w:id="12"/>
      <w:bookmarkEnd w:id="13"/>
    </w:p>
    <w:p>
      <w:r>
        <w:rPr>
          <w:rFonts w:hint="eastAsia"/>
        </w:rPr>
        <w:t>完成，结转到以后年度按有关规定继续使用的资金；或本年</w:t>
      </w:r>
    </w:p>
    <w:p>
      <w:r>
        <w:rPr>
          <w:rFonts w:hint="eastAsia"/>
        </w:rPr>
        <w:t>和以前年度工作目标已完成，剩余的滚存资金。</w:t>
      </w:r>
    </w:p>
    <w:p>
      <w:pPr>
        <w:ind w:firstLine="640" w:firstLineChars="200"/>
      </w:pPr>
      <w:bookmarkStart w:id="14" w:name="_Toc27264_WPSOffice_Level2"/>
      <w:bookmarkStart w:id="15" w:name="_Toc26868_WPSOffice_Level2"/>
      <w:r>
        <w:rPr>
          <w:rFonts w:hint="eastAsia"/>
        </w:rPr>
        <w:t>5、基本支出：指为保障机构正常运转、完成日常工作</w:t>
      </w:r>
      <w:bookmarkEnd w:id="14"/>
      <w:bookmarkEnd w:id="15"/>
    </w:p>
    <w:p>
      <w:r>
        <w:rPr>
          <w:rFonts w:hint="eastAsia"/>
        </w:rPr>
        <w:t>任务而发生的人员支出和公用支出。</w:t>
      </w:r>
    </w:p>
    <w:p>
      <w:pPr>
        <w:ind w:firstLine="640" w:firstLineChars="200"/>
      </w:pPr>
      <w:bookmarkStart w:id="16" w:name="_Toc28648_WPSOffice_Level2"/>
      <w:bookmarkStart w:id="17" w:name="_Toc22035_WPSOffice_Level2"/>
      <w:r>
        <w:rPr>
          <w:rFonts w:hint="eastAsia"/>
        </w:rPr>
        <w:t>6、项目支出：指在基本支出之外为完成特定行政任务</w:t>
      </w:r>
      <w:bookmarkEnd w:id="16"/>
      <w:bookmarkEnd w:id="17"/>
    </w:p>
    <w:p>
      <w:r>
        <w:rPr>
          <w:rFonts w:hint="eastAsia"/>
        </w:rPr>
        <w:t>和事业发展目标所发生的支出。</w:t>
      </w:r>
    </w:p>
    <w:p>
      <w:pPr>
        <w:ind w:firstLine="640" w:firstLineChars="200"/>
      </w:pPr>
      <w:bookmarkStart w:id="18" w:name="_Toc18744_WPSOffice_Level2"/>
      <w:bookmarkStart w:id="19" w:name="_Toc11338_WPSOffice_Level2"/>
      <w:r>
        <w:rPr>
          <w:rFonts w:hint="eastAsia"/>
        </w:rPr>
        <w:t>7、“三公”经费：指市直部门用一般公共预算安排的</w:t>
      </w:r>
      <w:bookmarkEnd w:id="18"/>
      <w:bookmarkEnd w:id="19"/>
    </w:p>
    <w:p>
      <w:r>
        <w:rPr>
          <w:rFonts w:hint="eastAsia"/>
        </w:rPr>
        <w:t>因公出国（境）费、公务用车购置及运行费和公务接待费。</w:t>
      </w:r>
    </w:p>
    <w:p>
      <w:r>
        <w:rPr>
          <w:rFonts w:hint="eastAsia"/>
        </w:rPr>
        <w:t>其中，因公出国（境）费反映单位公务出国（境）的国际旅</w:t>
      </w:r>
    </w:p>
    <w:p>
      <w:r>
        <w:rPr>
          <w:rFonts w:hint="eastAsia"/>
        </w:rPr>
        <w:t>费、国外城市间交通费、住宿费、伙食费、培训费、公杂费</w:t>
      </w:r>
    </w:p>
    <w:p>
      <w:r>
        <w:rPr>
          <w:rFonts w:hint="eastAsia"/>
        </w:rPr>
        <w:t>等支出；公务用车购置费反映公务用车车辆购置支出（含车</w:t>
      </w:r>
    </w:p>
    <w:p>
      <w:r>
        <w:rPr>
          <w:rFonts w:hint="eastAsia"/>
        </w:rPr>
        <w:t>辆购置税）；公务用车运行维护费反映单位按规定保留的公</w:t>
      </w:r>
    </w:p>
    <w:p>
      <w:r>
        <w:rPr>
          <w:rFonts w:hint="eastAsia"/>
        </w:rPr>
        <w:t>务用车燃料费、维修费、过路过桥费、保险费、安全奖励费</w:t>
      </w:r>
    </w:p>
    <w:p>
      <w:r>
        <w:rPr>
          <w:rFonts w:hint="eastAsia"/>
        </w:rPr>
        <w:t>用等支出；公务接待费反映单位按规定开支的各类公务接待</w:t>
      </w:r>
    </w:p>
    <w:p>
      <w:r>
        <w:rPr>
          <w:rFonts w:hint="eastAsia"/>
        </w:rPr>
        <w:t>（含外宾接待）支出。</w:t>
      </w:r>
    </w:p>
    <w:p>
      <w:pPr>
        <w:ind w:firstLine="640" w:firstLineChars="200"/>
      </w:pPr>
      <w:bookmarkStart w:id="20" w:name="_Toc19043_WPSOffice_Level2"/>
      <w:bookmarkStart w:id="21" w:name="_Toc29148_WPSOffice_Level2"/>
      <w:r>
        <w:rPr>
          <w:rFonts w:hint="eastAsia"/>
        </w:rPr>
        <w:t>8、机关运行经费：指行政单位和参照公务员法管理的</w:t>
      </w:r>
      <w:bookmarkEnd w:id="20"/>
      <w:bookmarkEnd w:id="21"/>
    </w:p>
    <w:p>
      <w:r>
        <w:rPr>
          <w:rFonts w:hint="eastAsia"/>
        </w:rPr>
        <w:t>事业单位使用一般公共预算安排的基本支出中的日常公用</w:t>
      </w:r>
    </w:p>
    <w:p>
      <w:r>
        <w:rPr>
          <w:rFonts w:hint="eastAsia"/>
        </w:rPr>
        <w:t>经费支出。</w:t>
      </w:r>
    </w:p>
    <w:p/>
    <w:p>
      <w:pPr>
        <w:numPr>
          <w:ilvl w:val="0"/>
          <w:numId w:val="0"/>
        </w:numPr>
        <w:ind w:leftChars="0"/>
        <w:jc w:val="both"/>
        <w:rPr>
          <w:rFonts w:hint="eastAsia" w:ascii="宋体" w:hAnsi="宋体" w:eastAsia="宋体" w:cs="宋体"/>
          <w:sz w:val="32"/>
          <w:szCs w:val="32"/>
          <w:lang w:val="en-US" w:eastAsia="zh-CN"/>
        </w:rPr>
      </w:pPr>
    </w:p>
    <w:sectPr>
      <w:type w:val="evenPage"/>
      <w:pgSz w:w="11906" w:h="16838"/>
      <w:pgMar w:top="1440" w:right="1803" w:bottom="1440" w:left="1803" w:header="851" w:footer="992" w:gutter="0"/>
      <w:pgNumType w:fmt="decimal"/>
      <w:cols w:space="72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5DCB86"/>
    <w:multiLevelType w:val="singleLevel"/>
    <w:tmpl w:val="985DCB86"/>
    <w:lvl w:ilvl="0" w:tentative="0">
      <w:start w:val="2"/>
      <w:numFmt w:val="chineseCounting"/>
      <w:suff w:val="nothing"/>
      <w:lvlText w:val="（%1）"/>
      <w:lvlJc w:val="left"/>
      <w:rPr>
        <w:rFonts w:hint="eastAsia"/>
      </w:rPr>
    </w:lvl>
  </w:abstractNum>
  <w:abstractNum w:abstractNumId="1">
    <w:nsid w:val="C4E66722"/>
    <w:multiLevelType w:val="singleLevel"/>
    <w:tmpl w:val="C4E66722"/>
    <w:lvl w:ilvl="0" w:tentative="0">
      <w:start w:val="4"/>
      <w:numFmt w:val="chineseCounting"/>
      <w:suff w:val="nothing"/>
      <w:lvlText w:val="%1、"/>
      <w:lvlJc w:val="left"/>
      <w:rPr>
        <w:rFonts w:hint="eastAsia"/>
      </w:rPr>
    </w:lvl>
  </w:abstractNum>
  <w:abstractNum w:abstractNumId="2">
    <w:nsid w:val="3E82639F"/>
    <w:multiLevelType w:val="singleLevel"/>
    <w:tmpl w:val="3E82639F"/>
    <w:lvl w:ilvl="0" w:tentative="0">
      <w:start w:val="5"/>
      <w:numFmt w:val="chineseCounting"/>
      <w:suff w:val="nothing"/>
      <w:lvlText w:val="%1、"/>
      <w:lvlJc w:val="left"/>
      <w:rPr>
        <w:rFonts w:hint="eastAsia"/>
      </w:rPr>
    </w:lvl>
  </w:abstractNum>
  <w:abstractNum w:abstractNumId="3">
    <w:nsid w:val="6FE76896"/>
    <w:multiLevelType w:val="singleLevel"/>
    <w:tmpl w:val="6FE76896"/>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zY2FkMzE4YWJkYjFjYzA1NjM4OWM1NDViMjZlYTYifQ=="/>
  </w:docVars>
  <w:rsids>
    <w:rsidRoot w:val="7F550453"/>
    <w:rsid w:val="002B6923"/>
    <w:rsid w:val="00893649"/>
    <w:rsid w:val="00A97848"/>
    <w:rsid w:val="01192926"/>
    <w:rsid w:val="01B55C63"/>
    <w:rsid w:val="030B62A1"/>
    <w:rsid w:val="03AD764F"/>
    <w:rsid w:val="04161C22"/>
    <w:rsid w:val="04630F35"/>
    <w:rsid w:val="054F62B1"/>
    <w:rsid w:val="05D13AC9"/>
    <w:rsid w:val="06413A68"/>
    <w:rsid w:val="074402CA"/>
    <w:rsid w:val="087D5842"/>
    <w:rsid w:val="08B102CF"/>
    <w:rsid w:val="097035F9"/>
    <w:rsid w:val="0A717628"/>
    <w:rsid w:val="0AF36EB5"/>
    <w:rsid w:val="0B0E333B"/>
    <w:rsid w:val="0B7869EC"/>
    <w:rsid w:val="0C48085D"/>
    <w:rsid w:val="0C923042"/>
    <w:rsid w:val="0CB47A4D"/>
    <w:rsid w:val="0D645398"/>
    <w:rsid w:val="0DCC1243"/>
    <w:rsid w:val="0DE26CA6"/>
    <w:rsid w:val="0EA81712"/>
    <w:rsid w:val="0F930041"/>
    <w:rsid w:val="10173C05"/>
    <w:rsid w:val="11517434"/>
    <w:rsid w:val="12241424"/>
    <w:rsid w:val="12E40A37"/>
    <w:rsid w:val="131D7FE0"/>
    <w:rsid w:val="13765CAF"/>
    <w:rsid w:val="139D148E"/>
    <w:rsid w:val="139E27C3"/>
    <w:rsid w:val="14134C23"/>
    <w:rsid w:val="15714980"/>
    <w:rsid w:val="16077093"/>
    <w:rsid w:val="16EF3DAF"/>
    <w:rsid w:val="172D2B29"/>
    <w:rsid w:val="17F13B56"/>
    <w:rsid w:val="189B005D"/>
    <w:rsid w:val="196A76BF"/>
    <w:rsid w:val="199F1A36"/>
    <w:rsid w:val="1A47349A"/>
    <w:rsid w:val="1AB175CD"/>
    <w:rsid w:val="1B2D30F7"/>
    <w:rsid w:val="1BB05AD7"/>
    <w:rsid w:val="1C953FDB"/>
    <w:rsid w:val="1D50131F"/>
    <w:rsid w:val="1E110AAE"/>
    <w:rsid w:val="1EFA3C38"/>
    <w:rsid w:val="1F901EA7"/>
    <w:rsid w:val="200603BB"/>
    <w:rsid w:val="2020322B"/>
    <w:rsid w:val="20346CD6"/>
    <w:rsid w:val="20582C19"/>
    <w:rsid w:val="212705E9"/>
    <w:rsid w:val="220F17A9"/>
    <w:rsid w:val="22A41421"/>
    <w:rsid w:val="24D17434"/>
    <w:rsid w:val="25965A86"/>
    <w:rsid w:val="25C6166B"/>
    <w:rsid w:val="25FA62CC"/>
    <w:rsid w:val="26797B41"/>
    <w:rsid w:val="26CF386D"/>
    <w:rsid w:val="279462AC"/>
    <w:rsid w:val="28542440"/>
    <w:rsid w:val="28A40771"/>
    <w:rsid w:val="28E6163D"/>
    <w:rsid w:val="293A3114"/>
    <w:rsid w:val="296F762A"/>
    <w:rsid w:val="2A2B53E7"/>
    <w:rsid w:val="2A762F7B"/>
    <w:rsid w:val="2AFC6642"/>
    <w:rsid w:val="2B004385"/>
    <w:rsid w:val="2B3260A2"/>
    <w:rsid w:val="2B841D92"/>
    <w:rsid w:val="2CD07D87"/>
    <w:rsid w:val="2F324D29"/>
    <w:rsid w:val="30BC6C52"/>
    <w:rsid w:val="30E65DCB"/>
    <w:rsid w:val="318450D3"/>
    <w:rsid w:val="31E717F8"/>
    <w:rsid w:val="320217EE"/>
    <w:rsid w:val="325504BF"/>
    <w:rsid w:val="328E2276"/>
    <w:rsid w:val="32E12CEE"/>
    <w:rsid w:val="33A1422B"/>
    <w:rsid w:val="34304C3D"/>
    <w:rsid w:val="34B83A17"/>
    <w:rsid w:val="3542559A"/>
    <w:rsid w:val="356B5B1A"/>
    <w:rsid w:val="360A60B7"/>
    <w:rsid w:val="3626102A"/>
    <w:rsid w:val="37A4078E"/>
    <w:rsid w:val="37BC1633"/>
    <w:rsid w:val="38156E11"/>
    <w:rsid w:val="38883C0B"/>
    <w:rsid w:val="38DE55D9"/>
    <w:rsid w:val="395A1104"/>
    <w:rsid w:val="396B387A"/>
    <w:rsid w:val="3A745520"/>
    <w:rsid w:val="3AAC3BE1"/>
    <w:rsid w:val="3AC1455D"/>
    <w:rsid w:val="3B005CDB"/>
    <w:rsid w:val="3B1E7BB0"/>
    <w:rsid w:val="3BC20340"/>
    <w:rsid w:val="3CD70CBD"/>
    <w:rsid w:val="3DD45477"/>
    <w:rsid w:val="3ED23E32"/>
    <w:rsid w:val="3FA07A8C"/>
    <w:rsid w:val="409159A1"/>
    <w:rsid w:val="40C652D1"/>
    <w:rsid w:val="40DC6BC9"/>
    <w:rsid w:val="41072A52"/>
    <w:rsid w:val="41656898"/>
    <w:rsid w:val="41A51FC8"/>
    <w:rsid w:val="41E40104"/>
    <w:rsid w:val="41FC4D08"/>
    <w:rsid w:val="425215A4"/>
    <w:rsid w:val="42E3216A"/>
    <w:rsid w:val="43707776"/>
    <w:rsid w:val="43C27FD1"/>
    <w:rsid w:val="450B1E4C"/>
    <w:rsid w:val="45340078"/>
    <w:rsid w:val="47105641"/>
    <w:rsid w:val="47A86AFC"/>
    <w:rsid w:val="47FE7A46"/>
    <w:rsid w:val="48B85E47"/>
    <w:rsid w:val="48BD432F"/>
    <w:rsid w:val="491C63D6"/>
    <w:rsid w:val="49327E86"/>
    <w:rsid w:val="495A39E7"/>
    <w:rsid w:val="496E5EC9"/>
    <w:rsid w:val="4A08695A"/>
    <w:rsid w:val="4A195906"/>
    <w:rsid w:val="4AC8276C"/>
    <w:rsid w:val="4B577B99"/>
    <w:rsid w:val="4BEB208F"/>
    <w:rsid w:val="4C653BF0"/>
    <w:rsid w:val="4CC0176E"/>
    <w:rsid w:val="4CC120FB"/>
    <w:rsid w:val="4CE27936"/>
    <w:rsid w:val="4DF91A9A"/>
    <w:rsid w:val="4E7E7251"/>
    <w:rsid w:val="4FE52909"/>
    <w:rsid w:val="5097381E"/>
    <w:rsid w:val="51932FAD"/>
    <w:rsid w:val="51E36659"/>
    <w:rsid w:val="526476CA"/>
    <w:rsid w:val="533407C0"/>
    <w:rsid w:val="5354676C"/>
    <w:rsid w:val="56066B00"/>
    <w:rsid w:val="561C2C21"/>
    <w:rsid w:val="56336B0D"/>
    <w:rsid w:val="57770C7B"/>
    <w:rsid w:val="57D4431F"/>
    <w:rsid w:val="58461443"/>
    <w:rsid w:val="58474AF1"/>
    <w:rsid w:val="58476E53"/>
    <w:rsid w:val="58CF0EC3"/>
    <w:rsid w:val="59374B66"/>
    <w:rsid w:val="594429C2"/>
    <w:rsid w:val="59CA781C"/>
    <w:rsid w:val="5A1D5B0A"/>
    <w:rsid w:val="5A6000EC"/>
    <w:rsid w:val="5A81078E"/>
    <w:rsid w:val="5ADD4655"/>
    <w:rsid w:val="5B465534"/>
    <w:rsid w:val="5BA4219D"/>
    <w:rsid w:val="5C4F21C6"/>
    <w:rsid w:val="5DB9783A"/>
    <w:rsid w:val="5E96232F"/>
    <w:rsid w:val="5F3E23E4"/>
    <w:rsid w:val="5F9A19AB"/>
    <w:rsid w:val="5FE07D05"/>
    <w:rsid w:val="60581E83"/>
    <w:rsid w:val="609E371C"/>
    <w:rsid w:val="612E4AA0"/>
    <w:rsid w:val="617C580C"/>
    <w:rsid w:val="61E6039D"/>
    <w:rsid w:val="62175534"/>
    <w:rsid w:val="62651893"/>
    <w:rsid w:val="62E231B2"/>
    <w:rsid w:val="62F3637E"/>
    <w:rsid w:val="635D4060"/>
    <w:rsid w:val="640115C4"/>
    <w:rsid w:val="6428782A"/>
    <w:rsid w:val="64460353"/>
    <w:rsid w:val="64A4632B"/>
    <w:rsid w:val="66C739CD"/>
    <w:rsid w:val="66D1436D"/>
    <w:rsid w:val="67554111"/>
    <w:rsid w:val="678F59F4"/>
    <w:rsid w:val="68604EB0"/>
    <w:rsid w:val="68B223D1"/>
    <w:rsid w:val="68DF1251"/>
    <w:rsid w:val="68E71722"/>
    <w:rsid w:val="695847ED"/>
    <w:rsid w:val="69B231FD"/>
    <w:rsid w:val="69B67B1C"/>
    <w:rsid w:val="69F61ED3"/>
    <w:rsid w:val="6A1C56E2"/>
    <w:rsid w:val="6A317BB1"/>
    <w:rsid w:val="6A464C09"/>
    <w:rsid w:val="6A6E23B2"/>
    <w:rsid w:val="6A812359"/>
    <w:rsid w:val="6AC87D14"/>
    <w:rsid w:val="6B182A49"/>
    <w:rsid w:val="6CA604C9"/>
    <w:rsid w:val="6CB46332"/>
    <w:rsid w:val="6D747CDF"/>
    <w:rsid w:val="6D8B6DC6"/>
    <w:rsid w:val="6DAF51BB"/>
    <w:rsid w:val="6DD46DD3"/>
    <w:rsid w:val="6DDD7632"/>
    <w:rsid w:val="6E922C3F"/>
    <w:rsid w:val="6EE449F0"/>
    <w:rsid w:val="6F1E313E"/>
    <w:rsid w:val="6F3D4ABD"/>
    <w:rsid w:val="6F5C552B"/>
    <w:rsid w:val="70812E3F"/>
    <w:rsid w:val="70847E02"/>
    <w:rsid w:val="70F353BF"/>
    <w:rsid w:val="710141BC"/>
    <w:rsid w:val="729A3D44"/>
    <w:rsid w:val="72B65900"/>
    <w:rsid w:val="73B76B77"/>
    <w:rsid w:val="740161D4"/>
    <w:rsid w:val="74561EEC"/>
    <w:rsid w:val="74FA31C0"/>
    <w:rsid w:val="77071582"/>
    <w:rsid w:val="77AD483D"/>
    <w:rsid w:val="78CF226D"/>
    <w:rsid w:val="790B7890"/>
    <w:rsid w:val="79236967"/>
    <w:rsid w:val="79314CD6"/>
    <w:rsid w:val="7A3E3B4E"/>
    <w:rsid w:val="7AFE2912"/>
    <w:rsid w:val="7CDE6F23"/>
    <w:rsid w:val="7D935B5C"/>
    <w:rsid w:val="7E84104C"/>
    <w:rsid w:val="7E8A7362"/>
    <w:rsid w:val="7ED576F6"/>
    <w:rsid w:val="7F50259B"/>
    <w:rsid w:val="7F550453"/>
    <w:rsid w:val="7FCB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after="120"/>
      <w:jc w:val="both"/>
    </w:pPr>
    <w:rPr>
      <w:rFonts w:ascii="Calibri" w:hAnsi="Calibri" w:eastAsia="仿宋"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WPSOffice手动目录 1"/>
    <w:uiPriority w:val="0"/>
    <w:pPr>
      <w:ind w:leftChars="0"/>
    </w:pPr>
    <w:rPr>
      <w:rFonts w:ascii="Times New Roman" w:hAnsi="Times New Roman" w:eastAsia="宋体" w:cs="Times New Roman"/>
      <w:sz w:val="20"/>
      <w:szCs w:val="20"/>
    </w:rPr>
  </w:style>
  <w:style w:type="paragraph" w:customStyle="1" w:styleId="5">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35</Pages>
  <Words>5425</Words>
  <Characters>7545</Characters>
  <Lines>0</Lines>
  <Paragraphs>0</Paragraphs>
  <TotalTime>14</TotalTime>
  <ScaleCrop>false</ScaleCrop>
  <LinksUpToDate>false</LinksUpToDate>
  <CharactersWithSpaces>7800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2022-09-14T09:45:00Z</dcterms:created>
  <dc:creator>lenovo</dc:creator>
  <cp:lastModifiedBy>lenovo</cp:lastModifiedBy>
  <dcterms:modified xsi:type="dcterms:W3CDTF">2022-09-16T00:38:16Z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3369F70683FF475AB9C710ED9765532E</vt:lpwstr>
  </property>
</Properties>
</file>