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3" w:line="285" w:lineRule="auto"/>
        <w:jc w:val="center"/>
        <w:rPr>
          <w:rFonts w:hint="eastAsia" w:ascii="黑体" w:hAnsi="黑体" w:eastAsia="黑体" w:cs="黑体"/>
          <w:b/>
          <w:bCs/>
          <w:spacing w:val="-23"/>
          <w:sz w:val="56"/>
          <w:szCs w:val="56"/>
          <w:lang w:val="en-US" w:eastAsia="zh-CN"/>
        </w:rPr>
      </w:pPr>
      <w:bookmarkStart w:id="0" w:name="_Toc9450_WPSOffice_Type2"/>
      <w:r>
        <w:rPr>
          <w:rFonts w:hint="eastAsia" w:ascii="黑体" w:hAnsi="黑体" w:eastAsia="黑体" w:cs="黑体"/>
          <w:b/>
          <w:bCs/>
          <w:spacing w:val="-23"/>
          <w:sz w:val="56"/>
          <w:szCs w:val="56"/>
          <w:lang w:val="en-US" w:eastAsia="zh-CN"/>
        </w:rPr>
        <w:t>五台山风景名胜区农业和畜牧业</w:t>
      </w:r>
    </w:p>
    <w:p>
      <w:pPr>
        <w:spacing w:before="223" w:line="285" w:lineRule="auto"/>
        <w:jc w:val="center"/>
        <w:rPr>
          <w:rFonts w:hint="default" w:ascii="黑体" w:hAnsi="黑体" w:eastAsia="黑体" w:cs="黑体"/>
          <w:b/>
          <w:bCs/>
          <w:spacing w:val="-20"/>
          <w:sz w:val="56"/>
          <w:szCs w:val="56"/>
          <w:lang w:val="en-US" w:eastAsia="zh-CN"/>
        </w:rPr>
      </w:pPr>
      <w:r>
        <w:rPr>
          <w:rFonts w:hint="eastAsia" w:ascii="黑体" w:hAnsi="黑体" w:eastAsia="黑体" w:cs="黑体"/>
          <w:b/>
          <w:bCs/>
          <w:spacing w:val="-23"/>
          <w:sz w:val="56"/>
          <w:szCs w:val="56"/>
          <w:lang w:val="en-US" w:eastAsia="zh-CN"/>
        </w:rPr>
        <w:t>服务中心</w:t>
      </w:r>
      <w:r>
        <w:rPr>
          <w:rFonts w:hint="eastAsia" w:ascii="黑体" w:hAnsi="黑体" w:eastAsia="黑体" w:cs="黑体"/>
          <w:b/>
          <w:bCs/>
          <w:spacing w:val="-20"/>
          <w:sz w:val="56"/>
          <w:szCs w:val="56"/>
          <w:lang w:val="en-US" w:eastAsia="zh-CN"/>
        </w:rPr>
        <w:t>2021年度部门决算</w:t>
      </w:r>
    </w:p>
    <w:p>
      <w:pPr>
        <w:spacing w:before="0" w:beforeLines="0" w:after="0" w:afterLines="0" w:line="240" w:lineRule="auto"/>
        <w:ind w:left="0" w:leftChars="0" w:right="0" w:rightChars="0" w:firstLine="0" w:firstLineChars="0"/>
        <w:jc w:val="both"/>
        <w:rPr>
          <w:rFonts w:hint="eastAsia" w:ascii="宋体" w:hAnsi="宋体" w:eastAsia="宋体" w:cs="宋体"/>
          <w:sz w:val="44"/>
          <w:szCs w:val="44"/>
        </w:rPr>
      </w:pPr>
    </w:p>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rPr>
        <w:t>目录</w:t>
      </w:r>
    </w:p>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_Toc27194_WPSOffice_Level1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第一部分 概况</w:t>
      </w:r>
      <w:r>
        <w:rPr>
          <w:rFonts w:hint="eastAsia" w:ascii="宋体" w:hAnsi="宋体" w:eastAsia="宋体" w:cs="宋体"/>
          <w:b/>
          <w:bCs/>
          <w:sz w:val="32"/>
          <w:szCs w:val="32"/>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_Toc2696_WPSOffice_Level2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一</w:t>
      </w:r>
      <w:r>
        <w:rPr>
          <w:rFonts w:hint="eastAsia" w:ascii="宋体" w:hAnsi="宋体" w:eastAsia="宋体" w:cs="宋体"/>
          <w:sz w:val="32"/>
          <w:szCs w:val="32"/>
          <w:lang w:eastAsia="zh-CN"/>
        </w:rPr>
        <w:t>、</w:t>
      </w:r>
      <w:r>
        <w:rPr>
          <w:rFonts w:hint="eastAsia" w:ascii="宋体" w:hAnsi="宋体" w:eastAsia="宋体" w:cs="宋体"/>
          <w:sz w:val="32"/>
          <w:szCs w:val="32"/>
        </w:rPr>
        <w:t>主要职能</w:t>
      </w:r>
      <w:r>
        <w:rPr>
          <w:rFonts w:hint="eastAsia" w:ascii="宋体" w:hAnsi="宋体" w:eastAsia="宋体" w:cs="宋体"/>
          <w:sz w:val="32"/>
          <w:szCs w:val="32"/>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_Toc22881_WPSOffice_Level2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二</w:t>
      </w:r>
      <w:r>
        <w:rPr>
          <w:rFonts w:hint="eastAsia" w:ascii="宋体" w:hAnsi="宋体" w:eastAsia="宋体" w:cs="宋体"/>
          <w:sz w:val="32"/>
          <w:szCs w:val="32"/>
          <w:lang w:eastAsia="zh-CN"/>
        </w:rPr>
        <w:t>、</w:t>
      </w:r>
      <w:r>
        <w:rPr>
          <w:rFonts w:hint="eastAsia" w:ascii="宋体" w:hAnsi="宋体" w:eastAsia="宋体" w:cs="宋体"/>
          <w:sz w:val="32"/>
          <w:szCs w:val="32"/>
        </w:rPr>
        <w:t>机构设置情况</w:t>
      </w:r>
      <w:r>
        <w:rPr>
          <w:rFonts w:hint="eastAsia" w:ascii="宋体" w:hAnsi="宋体" w:eastAsia="宋体" w:cs="宋体"/>
          <w:sz w:val="32"/>
          <w:szCs w:val="32"/>
        </w:rPr>
        <w:fldChar w:fldCharType="end"/>
      </w: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HYPERLINK \l _Toc12665_WPSOffice_Level1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第二部门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年度部门决算报表</w:t>
      </w:r>
      <w:r>
        <w:rPr>
          <w:rFonts w:hint="eastAsia" w:ascii="宋体" w:hAnsi="宋体" w:eastAsia="宋体" w:cs="宋体"/>
          <w:b/>
          <w:bCs/>
          <w:sz w:val="32"/>
          <w:szCs w:val="32"/>
        </w:rPr>
        <w:fldChar w:fldCharType="end"/>
      </w:r>
    </w:p>
    <w:p>
      <w:pPr>
        <w:pStyle w:val="7"/>
        <w:keepNext w:val="0"/>
        <w:keepLines w:val="0"/>
        <w:pageBreakBefore w:val="0"/>
        <w:widowControl/>
        <w:numPr>
          <w:ilvl w:val="0"/>
          <w:numId w:val="1"/>
        </w:numPr>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收入支出决算总表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二、收入决算表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三、支出决算表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四、财政拨款收入支出决算总表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五、一般公共预算财政拨款收入支出决算总表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六、</w:t>
      </w:r>
      <w:r>
        <w:rPr>
          <w:rFonts w:hint="eastAsia" w:ascii="宋体" w:hAnsi="宋体" w:cs="宋体"/>
          <w:sz w:val="32"/>
          <w:szCs w:val="32"/>
          <w:lang w:val="en-US" w:eastAsia="zh-CN"/>
        </w:rPr>
        <w:t>一般公共预算财政拨款基本支出决算表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七、一般公共预算财政拨款“三公”经费支出决算表</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default" w:ascii="宋体" w:hAnsi="宋体" w:eastAsia="宋体" w:cs="宋体"/>
          <w:b/>
          <w:bCs/>
          <w:sz w:val="32"/>
          <w:szCs w:val="32"/>
          <w:lang w:val="en-US" w:eastAsia="zh-CN"/>
        </w:rPr>
      </w:pPr>
      <w:r>
        <w:rPr>
          <w:rFonts w:hint="eastAsia" w:ascii="宋体" w:hAnsi="宋体" w:eastAsia="宋体" w:cs="宋体"/>
          <w:sz w:val="32"/>
          <w:szCs w:val="32"/>
          <w:lang w:val="en-US" w:eastAsia="zh-CN"/>
        </w:rPr>
        <w:t xml:space="preserve">八、政府性基金预算财政拨款收入支出决算表   </w:t>
      </w:r>
      <w:r>
        <w:rPr>
          <w:rFonts w:hint="eastAsia" w:ascii="宋体" w:hAnsi="宋体" w:eastAsia="宋体" w:cs="宋体"/>
          <w:b/>
          <w:bCs/>
          <w:sz w:val="32"/>
          <w:szCs w:val="32"/>
          <w:lang w:val="en-US" w:eastAsia="zh-CN"/>
        </w:rPr>
        <w:t xml:space="preserve">  </w:t>
      </w: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_Toc23257_WPSOffice_Level1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第三部门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年度部门决算情况说明</w:t>
      </w:r>
      <w:r>
        <w:rPr>
          <w:rFonts w:hint="eastAsia" w:ascii="宋体" w:hAnsi="宋体" w:eastAsia="宋体" w:cs="宋体"/>
          <w:b/>
          <w:bCs/>
          <w:sz w:val="32"/>
          <w:szCs w:val="32"/>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_Toc7494_WPSOffice_Level1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一、收入决算总体情况说明</w:t>
      </w:r>
      <w:r>
        <w:rPr>
          <w:rFonts w:hint="eastAsia" w:ascii="宋体" w:hAnsi="宋体" w:eastAsia="宋体" w:cs="宋体"/>
          <w:sz w:val="32"/>
          <w:szCs w:val="32"/>
          <w:lang w:val="en-US" w:eastAsia="zh-CN"/>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_Toc2047_WPSOffice_Level1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二、收入决算情况说明</w:t>
      </w:r>
      <w:r>
        <w:rPr>
          <w:rFonts w:hint="eastAsia" w:ascii="宋体" w:hAnsi="宋体" w:eastAsia="宋体" w:cs="宋体"/>
          <w:sz w:val="32"/>
          <w:szCs w:val="32"/>
          <w:lang w:val="en-US" w:eastAsia="zh-CN"/>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_Toc22991_WPSOffice_Level1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三、支出决算情况说明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四、财政拨款收入支出决算总体情况说明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五、一般公共预算财政拨款支出预算情况说明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六、一般公共预算财政拨款基本支出决算情况说明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七、一般公共预算财政拨款“三公”经费支出决算情况</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八、政府性基金预算财政拨款收入支出情况说明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九、预算绩效情况说明</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
          <w:bCs/>
          <w:sz w:val="32"/>
          <w:szCs w:val="32"/>
        </w:rPr>
      </w:pPr>
      <w:r>
        <w:rPr>
          <w:rFonts w:hint="eastAsia" w:ascii="宋体" w:hAnsi="宋体" w:eastAsia="宋体" w:cs="宋体"/>
          <w:sz w:val="32"/>
          <w:szCs w:val="32"/>
          <w:lang w:val="en-US" w:eastAsia="zh-CN"/>
        </w:rPr>
        <w:t>十、其他重要事项情况说明</w:t>
      </w: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_Toc1572_WPSOffice_Level1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第四部分 名词解释</w:t>
      </w:r>
      <w:r>
        <w:rPr>
          <w:rFonts w:hint="eastAsia" w:ascii="宋体" w:hAnsi="宋体" w:eastAsia="宋体" w:cs="宋体"/>
          <w:b/>
          <w:bCs/>
          <w:sz w:val="32"/>
          <w:szCs w:val="32"/>
        </w:rPr>
        <w:fldChar w:fldCharType="end"/>
      </w:r>
    </w:p>
    <w:bookmarkEnd w:id="0"/>
    <w:p/>
    <w:p/>
    <w:p/>
    <w:p/>
    <w:p/>
    <w:p/>
    <w:p/>
    <w:p/>
    <w:p/>
    <w:p/>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_Toc27194_WPSOffice_Level1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第一部分 概况</w:t>
      </w:r>
      <w:r>
        <w:rPr>
          <w:rFonts w:hint="eastAsia" w:ascii="宋体" w:hAnsi="宋体" w:eastAsia="宋体" w:cs="宋体"/>
          <w:b/>
          <w:bCs/>
          <w:sz w:val="32"/>
          <w:szCs w:val="32"/>
        </w:rPr>
        <w:fldChar w:fldCharType="end"/>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_Toc2696_WPSOffice_Level2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一</w:t>
      </w:r>
      <w:r>
        <w:rPr>
          <w:rFonts w:hint="eastAsia" w:ascii="宋体" w:hAnsi="宋体" w:eastAsia="宋体" w:cs="宋体"/>
          <w:sz w:val="32"/>
          <w:szCs w:val="32"/>
          <w:lang w:eastAsia="zh-CN"/>
        </w:rPr>
        <w:t>、</w:t>
      </w:r>
      <w:r>
        <w:rPr>
          <w:rFonts w:hint="eastAsia" w:ascii="宋体" w:hAnsi="宋体" w:eastAsia="宋体" w:cs="宋体"/>
          <w:sz w:val="32"/>
          <w:szCs w:val="32"/>
        </w:rPr>
        <w:t>主要职能</w:t>
      </w:r>
      <w:r>
        <w:rPr>
          <w:rFonts w:hint="eastAsia" w:ascii="宋体" w:hAnsi="宋体" w:eastAsia="宋体" w:cs="宋体"/>
          <w:sz w:val="32"/>
          <w:szCs w:val="32"/>
        </w:rPr>
        <w:fldChar w:fldCharType="end"/>
      </w:r>
    </w:p>
    <w:p>
      <w:pPr>
        <w:pStyle w:val="2"/>
        <w:ind w:left="0" w:leftChars="0" w:firstLine="640" w:firstLineChars="200"/>
        <w:rPr>
          <w:rFonts w:hint="default"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承担提供农业技术与产品相关服务和农业技术推广工作。开展景区内农业资源和环境调查监测工作。承担农产品质量安全、农业机械、种子市场和种子质量以及畜牧兽医等的服务工作。承担农村经济经营管理的服务工作。开展农业广播电视教育工作。承担景区水土保持、防汛抗旱、水资源管理、水利工程、水利科技、河道、灌溉、供水、排水、节约用水等服务工作。承担脱贫攻坚相关服务工作。承担景区河长制办公室服务工作。承担景区范围内的畜牧兽医相关服务工作。</w:t>
      </w:r>
    </w:p>
    <w:p>
      <w:pPr>
        <w:pStyle w:val="7"/>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rPr>
      </w:pPr>
    </w:p>
    <w:p>
      <w:pPr>
        <w:pStyle w:val="7"/>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_Toc22881_WPSOffice_Level2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二</w:t>
      </w:r>
      <w:r>
        <w:rPr>
          <w:rFonts w:hint="eastAsia" w:ascii="宋体" w:hAnsi="宋体" w:eastAsia="宋体" w:cs="宋体"/>
          <w:sz w:val="32"/>
          <w:szCs w:val="32"/>
          <w:lang w:eastAsia="zh-CN"/>
        </w:rPr>
        <w:t>、</w:t>
      </w:r>
      <w:r>
        <w:rPr>
          <w:rFonts w:hint="eastAsia" w:ascii="宋体" w:hAnsi="宋体" w:eastAsia="宋体" w:cs="宋体"/>
          <w:sz w:val="32"/>
          <w:szCs w:val="32"/>
        </w:rPr>
        <w:t>机构设置情况</w:t>
      </w:r>
      <w:r>
        <w:rPr>
          <w:rFonts w:hint="eastAsia" w:ascii="宋体" w:hAnsi="宋体" w:eastAsia="宋体" w:cs="宋体"/>
          <w:sz w:val="32"/>
          <w:szCs w:val="32"/>
        </w:rPr>
        <w:fldChar w:fldCharType="end"/>
      </w:r>
    </w:p>
    <w:p>
      <w:pPr>
        <w:keepNext w:val="0"/>
        <w:keepLines w:val="0"/>
        <w:pageBreakBefore w:val="0"/>
        <w:numPr>
          <w:ilvl w:val="0"/>
          <w:numId w:val="2"/>
        </w:numPr>
        <w:tabs>
          <w:tab w:val="left" w:pos="1260"/>
          <w:tab w:val="clear" w:pos="720"/>
        </w:tabs>
        <w:kinsoku/>
        <w:wordWrap/>
        <w:overflowPunct/>
        <w:topLinePunct w:val="0"/>
        <w:autoSpaceDE/>
        <w:autoSpaceDN/>
        <w:bidi w:val="0"/>
        <w:adjustRightInd/>
        <w:spacing w:line="360" w:lineRule="auto"/>
        <w:ind w:left="1053" w:leftChars="304" w:hanging="80" w:hangingChars="25"/>
        <w:jc w:val="both"/>
        <w:rPr>
          <w:rFonts w:hint="eastAsia" w:ascii="楷体" w:hAnsi="楷体" w:eastAsia="楷体" w:cs="Times New Roman"/>
          <w:b/>
          <w:bCs/>
          <w:color w:val="auto"/>
          <w:sz w:val="32"/>
          <w:szCs w:val="32"/>
        </w:rPr>
      </w:pPr>
      <w:r>
        <w:rPr>
          <w:rFonts w:hint="eastAsia" w:ascii="楷体" w:hAnsi="楷体" w:eastAsia="楷体" w:cs="Times New Roman"/>
          <w:b/>
          <w:bCs/>
          <w:color w:val="auto"/>
          <w:sz w:val="32"/>
          <w:szCs w:val="32"/>
        </w:rPr>
        <w:t>机构情况</w:t>
      </w:r>
    </w:p>
    <w:p>
      <w:pPr>
        <w:keepNext w:val="0"/>
        <w:keepLines w:val="0"/>
        <w:pageBreakBefore w:val="0"/>
        <w:kinsoku/>
        <w:wordWrap/>
        <w:overflowPunct/>
        <w:topLinePunct w:val="0"/>
        <w:autoSpaceDE/>
        <w:autoSpaceDN/>
        <w:bidi w:val="0"/>
        <w:adjustRightInd/>
        <w:snapToGrid w:val="0"/>
        <w:spacing w:line="360" w:lineRule="auto"/>
        <w:ind w:firstLine="640" w:firstLineChars="200"/>
        <w:jc w:val="left"/>
        <w:rPr>
          <w:rFonts w:hint="eastAsia" w:ascii="仿宋" w:hAnsi="仿宋" w:eastAsia="仿宋" w:cs="仿宋"/>
          <w:color w:val="auto"/>
          <w:sz w:val="32"/>
          <w:szCs w:val="32"/>
        </w:rPr>
      </w:pPr>
      <w:r>
        <w:rPr>
          <w:rFonts w:hint="eastAsia" w:ascii="仿宋_GB2312" w:hAnsi="仿宋" w:eastAsia="仿宋_GB2312"/>
          <w:color w:val="auto"/>
          <w:sz w:val="32"/>
          <w:szCs w:val="32"/>
        </w:rPr>
        <w:t>年末独立编制机构数1个，事业编制</w:t>
      </w:r>
      <w:r>
        <w:rPr>
          <w:rFonts w:hint="eastAsia" w:ascii="仿宋_GB2312" w:hAnsi="仿宋" w:eastAsia="仿宋_GB2312"/>
          <w:color w:val="auto"/>
          <w:sz w:val="32"/>
          <w:szCs w:val="32"/>
          <w:lang w:val="en-US" w:eastAsia="zh-CN"/>
        </w:rPr>
        <w:t>20个</w:t>
      </w:r>
      <w:r>
        <w:rPr>
          <w:rFonts w:hint="eastAsia" w:ascii="仿宋_GB2312" w:hAnsi="仿宋" w:eastAsia="仿宋_GB2312"/>
          <w:color w:val="auto"/>
          <w:sz w:val="32"/>
          <w:szCs w:val="32"/>
        </w:rPr>
        <w:t>。</w:t>
      </w:r>
    </w:p>
    <w:p>
      <w:pPr>
        <w:keepNext w:val="0"/>
        <w:keepLines w:val="0"/>
        <w:pageBreakBefore w:val="0"/>
        <w:numPr>
          <w:ilvl w:val="0"/>
          <w:numId w:val="2"/>
        </w:numPr>
        <w:tabs>
          <w:tab w:val="left" w:pos="1260"/>
          <w:tab w:val="clear" w:pos="720"/>
        </w:tabs>
        <w:kinsoku/>
        <w:wordWrap/>
        <w:overflowPunct/>
        <w:topLinePunct w:val="0"/>
        <w:autoSpaceDE/>
        <w:autoSpaceDN/>
        <w:bidi w:val="0"/>
        <w:adjustRightInd/>
        <w:spacing w:line="360" w:lineRule="auto"/>
        <w:ind w:left="1053" w:leftChars="304" w:hanging="80" w:hangingChars="25"/>
        <w:jc w:val="both"/>
        <w:rPr>
          <w:rFonts w:hint="eastAsia" w:ascii="楷体" w:hAnsi="楷体" w:eastAsia="楷体" w:cs="Times New Roman"/>
          <w:b/>
          <w:bCs/>
          <w:color w:val="auto"/>
          <w:sz w:val="32"/>
          <w:szCs w:val="32"/>
        </w:rPr>
      </w:pPr>
      <w:r>
        <w:rPr>
          <w:rFonts w:hint="eastAsia" w:ascii="楷体" w:hAnsi="楷体" w:eastAsia="楷体" w:cs="Times New Roman"/>
          <w:b/>
          <w:bCs/>
          <w:color w:val="auto"/>
          <w:sz w:val="32"/>
          <w:szCs w:val="32"/>
        </w:rPr>
        <w:t xml:space="preserve">人员情况 </w:t>
      </w:r>
    </w:p>
    <w:p>
      <w:pPr>
        <w:ind w:firstLine="640" w:firstLineChars="200"/>
        <w:rPr>
          <w:rFonts w:hint="eastAsia" w:ascii="宋体" w:hAnsi="宋体" w:eastAsia="宋体" w:cs="宋体"/>
          <w:sz w:val="32"/>
          <w:szCs w:val="32"/>
          <w:lang w:val="en-US" w:eastAsia="zh-CN"/>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rPr>
        <w:t>有在职人员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专业技术人员18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管理人员2人，工勤人员0人。</w:t>
      </w: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b/>
          <w:bCs/>
          <w:sz w:val="32"/>
          <w:szCs w:val="32"/>
        </w:rPr>
      </w:pPr>
    </w:p>
    <w:p>
      <w:pPr>
        <w:pStyle w:val="6"/>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HYPERLINK \l _Toc12665_WPSOffice_Level1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第二部门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年度部门决算报表</w:t>
      </w:r>
      <w:r>
        <w:rPr>
          <w:rFonts w:hint="eastAsia" w:ascii="宋体" w:hAnsi="宋体" w:eastAsia="宋体" w:cs="宋体"/>
          <w:b/>
          <w:bCs/>
          <w:sz w:val="32"/>
          <w:szCs w:val="32"/>
        </w:rPr>
        <w:fldChar w:fldCharType="end"/>
      </w:r>
    </w:p>
    <w:p>
      <w:pPr>
        <w:pStyle w:val="2"/>
        <w:sectPr>
          <w:pgSz w:w="11906" w:h="16838"/>
          <w:pgMar w:top="1440" w:right="1800" w:bottom="1440" w:left="1800" w:header="851" w:footer="992" w:gutter="0"/>
          <w:cols w:space="425" w:num="1"/>
          <w:docGrid w:type="lines" w:linePitch="312" w:charSpace="0"/>
        </w:sectPr>
      </w:pPr>
    </w:p>
    <w:p>
      <w:pPr>
        <w:pStyle w:val="7"/>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jc w:val="center"/>
        <w:textAlignment w:val="auto"/>
        <w:outlineLvl w:val="9"/>
        <w:rPr>
          <w:rFonts w:hint="eastAsia" w:ascii="宋体" w:hAnsi="宋体" w:eastAsia="宋体" w:cs="宋体"/>
          <w:sz w:val="32"/>
          <w:szCs w:val="32"/>
          <w:lang w:val="en-US" w:eastAsia="zh-CN"/>
        </w:rPr>
      </w:pPr>
      <w:r>
        <w:rPr>
          <w:rFonts w:hint="eastAsia" w:ascii="宋体" w:hAnsi="宋体" w:cs="宋体"/>
          <w:sz w:val="32"/>
          <w:szCs w:val="32"/>
          <w:lang w:val="en-US" w:eastAsia="zh-CN"/>
        </w:rPr>
        <w:t>一、</w:t>
      </w:r>
      <w:r>
        <w:rPr>
          <w:rFonts w:hint="eastAsia" w:ascii="宋体" w:hAnsi="宋体" w:eastAsia="宋体" w:cs="宋体"/>
          <w:sz w:val="32"/>
          <w:szCs w:val="32"/>
          <w:lang w:val="en-US" w:eastAsia="zh-CN"/>
        </w:rPr>
        <w:t>收入支出决算总表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656"/>
        <w:gridCol w:w="1646"/>
        <w:gridCol w:w="3516"/>
        <w:gridCol w:w="656"/>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18,261,877.92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18,966,077.60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18,966,077.60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pStyle w:val="2"/>
      </w:pPr>
    </w:p>
    <w:p>
      <w:pPr>
        <w:pStyle w:val="2"/>
      </w:pPr>
    </w:p>
    <w:p>
      <w:pPr>
        <w:pStyle w:val="2"/>
        <w:numPr>
          <w:ilvl w:val="0"/>
          <w:numId w:val="1"/>
        </w:numPr>
        <w:ind w:left="0" w:leftChars="0" w:firstLine="0" w:firstLineChars="0"/>
        <w:jc w:val="center"/>
        <w:rPr>
          <w:rFonts w:hint="eastAsia" w:ascii="宋体" w:hAnsi="宋体" w:eastAsia="宋体" w:cs="宋体"/>
        </w:rPr>
      </w:pPr>
      <w:r>
        <w:rPr>
          <w:rFonts w:hint="eastAsia" w:ascii="宋体" w:hAnsi="宋体" w:eastAsia="宋体" w:cs="宋体"/>
        </w:rPr>
        <w:t>收入决算表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94"/>
        <w:gridCol w:w="221"/>
        <w:gridCol w:w="221"/>
        <w:gridCol w:w="3317"/>
        <w:gridCol w:w="1412"/>
        <w:gridCol w:w="1412"/>
        <w:gridCol w:w="398"/>
        <w:gridCol w:w="398"/>
        <w:gridCol w:w="398"/>
        <w:gridCol w:w="398"/>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18,261,877.92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18,261,877.92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1,996,606.92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1,996,606.92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1,820,347.00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1,820,347.00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946,420.43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946,420.43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农业保险保费补贴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其他重大水利工程建设基金支出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2"/>
        <w:numPr>
          <w:ilvl w:val="0"/>
          <w:numId w:val="1"/>
        </w:numPr>
        <w:ind w:left="0" w:leftChars="0" w:firstLine="0" w:firstLineChars="0"/>
        <w:jc w:val="center"/>
        <w:rPr>
          <w:rFonts w:hint="eastAsia" w:ascii="宋体" w:hAnsi="宋体" w:eastAsia="宋体" w:cs="宋体"/>
        </w:rPr>
      </w:pPr>
      <w:r>
        <w:rPr>
          <w:rFonts w:hint="eastAsia" w:ascii="宋体" w:hAnsi="宋体" w:eastAsia="宋体" w:cs="宋体"/>
        </w:rPr>
        <w:t>支出决算表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6"/>
        <w:gridCol w:w="221"/>
        <w:gridCol w:w="221"/>
        <w:gridCol w:w="3187"/>
        <w:gridCol w:w="1361"/>
        <w:gridCol w:w="1361"/>
        <w:gridCol w:w="1273"/>
        <w:gridCol w:w="391"/>
        <w:gridCol w:w="391"/>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12,772,312.80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5,693,764.80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18,261,877.92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12,568,113.12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5,693,764.80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1,996,606.92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973,399.92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1,023,207.00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1,820,347.00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894,807.00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946,420.43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323,796.40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1,061,487.00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2,605,562.41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1,061,487.00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2,605,562.41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农业保险保费补贴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其他重大水利工程建设基金支出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10,109,429.80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10,109,429.80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1"/>
        </w:numPr>
        <w:ind w:left="0" w:leftChars="0" w:firstLine="0" w:firstLineChars="0"/>
        <w:jc w:val="center"/>
        <w:rPr>
          <w:rFonts w:hint="eastAsia" w:ascii="宋体" w:hAnsi="宋体" w:eastAsia="宋体" w:cs="宋体"/>
        </w:rPr>
      </w:pPr>
      <w:r>
        <w:rPr>
          <w:rFonts w:hint="eastAsia" w:ascii="宋体" w:hAnsi="宋体" w:eastAsia="宋体" w:cs="宋体"/>
        </w:rPr>
        <w:t>财政拨款收入支出决算总表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12"/>
        <w:gridCol w:w="387"/>
        <w:gridCol w:w="1327"/>
        <w:gridCol w:w="2780"/>
        <w:gridCol w:w="387"/>
        <w:gridCol w:w="1327"/>
        <w:gridCol w:w="1327"/>
        <w:gridCol w:w="985"/>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18,261,877.92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18,221,877.92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1"/>
        </w:numPr>
        <w:ind w:left="0" w:leftChars="0" w:firstLine="0" w:firstLineChars="0"/>
        <w:jc w:val="center"/>
        <w:rPr>
          <w:rFonts w:hint="eastAsia" w:ascii="宋体" w:hAnsi="宋体" w:eastAsia="宋体" w:cs="宋体"/>
        </w:rPr>
      </w:pPr>
      <w:r>
        <w:rPr>
          <w:rFonts w:hint="eastAsia" w:ascii="宋体" w:hAnsi="宋体" w:eastAsia="宋体" w:cs="宋体"/>
        </w:rPr>
        <w:t>一般公共预算财政拨款支出决算表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93"/>
        <w:gridCol w:w="221"/>
        <w:gridCol w:w="222"/>
        <w:gridCol w:w="3733"/>
        <w:gridCol w:w="1572"/>
        <w:gridCol w:w="1572"/>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18,426,077.60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12,772,312.80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5,653,764.80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18,221,877.92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12,568,113.12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5,653,764.80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1,996,606.92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973,399.92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1,023,207.00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47,859.92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1,820,347.00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894,807.00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946,420.43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323,796.40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288,516.40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562,624.03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1,061,487.00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2,605,562.41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3,667,049.41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1,061,487.00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2,605,562.41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农业保险保费补贴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10,109,429.80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10,710,429.80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10,109,429.80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0"/>
        </w:numPr>
        <w:ind w:leftChars="0"/>
        <w:jc w:val="both"/>
        <w:rPr>
          <w:rFonts w:hint="eastAsia" w:ascii="宋体" w:hAnsi="宋体" w:eastAsia="宋体" w:cs="宋体"/>
        </w:rPr>
      </w:pPr>
    </w:p>
    <w:p>
      <w:pPr>
        <w:pStyle w:val="2"/>
        <w:numPr>
          <w:ilvl w:val="0"/>
          <w:numId w:val="1"/>
        </w:num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一般公共预算财政拨款基本支出决算表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9"/>
        <w:gridCol w:w="1379"/>
        <w:gridCol w:w="681"/>
        <w:gridCol w:w="681"/>
        <w:gridCol w:w="410"/>
        <w:gridCol w:w="991"/>
        <w:gridCol w:w="720"/>
        <w:gridCol w:w="720"/>
        <w:gridCol w:w="410"/>
        <w:gridCol w:w="1146"/>
        <w:gridCol w:w="681"/>
        <w:gridCol w:w="604"/>
        <w:gridCol w:w="410"/>
        <w:gridCol w:w="1689"/>
        <w:gridCol w:w="72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0" w:type="auto"/>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2,146,036.33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2,146,036.33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12,959,770.12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10,222,460.16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730,844.00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730,844.00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603,934.42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603,934.42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359,580.00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359,580.00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299,530.00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121,953.81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121,953.81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609,443.00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609,443.00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204,199.68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17,910.92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17,910.92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95,931.00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20,044.65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125,994.00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125,994.00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794,680.20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260,911.60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783,024.00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457,912.00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494,635.81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670,685.00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261,185.00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558,326.40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558,326.40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2,357,635.34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205,816.31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489,695.00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5,250,997.23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5,250,997.23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83,862.50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83,862.50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1,674,645.40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945,868.00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1,412,624.03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188,878.00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188,878.00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283,939.59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283,939.59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165,635.81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1,657,544.96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917,393.00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2,640,672.14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2,344,036.33</w:t>
            </w:r>
          </w:p>
        </w:tc>
        <w:tc>
          <w:tcPr>
            <w:tcW w:w="0" w:type="auto"/>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15,785,405.46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10,428,276.47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注：本表反映部门本年度一般公共预算财政拨款支出明细情况（其中包括基本支出明细情况）。</w:t>
            </w:r>
          </w:p>
        </w:tc>
      </w:tr>
    </w:tbl>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1"/>
        </w:num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一般公共预算财政拨款“三公”经费支出决算表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32"/>
        <w:gridCol w:w="694"/>
        <w:gridCol w:w="1014"/>
        <w:gridCol w:w="1014"/>
        <w:gridCol w:w="1014"/>
        <w:gridCol w:w="376"/>
        <w:gridCol w:w="1014"/>
        <w:gridCol w:w="695"/>
        <w:gridCol w:w="1014"/>
        <w:gridCol w:w="1014"/>
        <w:gridCol w:w="1014"/>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405,893.40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405,893.40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121,953.81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283,939.59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numPr>
          <w:ilvl w:val="0"/>
          <w:numId w:val="1"/>
        </w:numPr>
        <w:ind w:left="0" w:leftChars="0"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政府性基金预算财政拨款收入支出决算表</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85"/>
        <w:gridCol w:w="221"/>
        <w:gridCol w:w="221"/>
        <w:gridCol w:w="3450"/>
        <w:gridCol w:w="406"/>
        <w:gridCol w:w="1079"/>
        <w:gridCol w:w="1079"/>
        <w:gridCol w:w="406"/>
        <w:gridCol w:w="1079"/>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部门：山西省忻州市五台山风景名胜区农业和畜牧业服务中心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其他重大水利工程建设基金支出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pPr>
    </w:p>
    <w:p>
      <w:pPr>
        <w:pStyle w:val="2"/>
        <w:numPr>
          <w:ilvl w:val="0"/>
          <w:numId w:val="0"/>
        </w:numPr>
        <w:ind w:leftChars="0"/>
        <w:jc w:val="both"/>
        <w:rPr>
          <w:rFonts w:hint="eastAsia" w:ascii="宋体" w:hAnsi="宋体" w:eastAsia="宋体" w:cs="宋体"/>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textAlignment w:val="auto"/>
        <w:rPr>
          <w:sz w:val="24"/>
          <w:szCs w:val="21"/>
        </w:rPr>
      </w:pPr>
      <w:r>
        <w:rPr>
          <w:rFonts w:hint="eastAsia"/>
          <w:b/>
          <w:bCs/>
        </w:rPr>
        <w:t xml:space="preserve">第三部门  </w:t>
      </w:r>
      <w:r>
        <w:rPr>
          <w:rFonts w:hint="eastAsia"/>
          <w:b/>
          <w:bCs/>
          <w:lang w:eastAsia="zh-CN"/>
        </w:rPr>
        <w:t>20</w:t>
      </w:r>
      <w:r>
        <w:rPr>
          <w:rFonts w:hint="eastAsia"/>
          <w:b/>
          <w:bCs/>
          <w:lang w:val="en-US" w:eastAsia="zh-CN"/>
        </w:rPr>
        <w:t>21</w:t>
      </w:r>
      <w:r>
        <w:rPr>
          <w:rFonts w:hint="eastAsia"/>
          <w:b/>
          <w:bCs/>
        </w:rPr>
        <w:t>年度部门决算情况说明</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rPr>
      </w:pPr>
      <w:bookmarkStart w:id="1" w:name="_Toc7494_WPSOffice_Level1"/>
      <w:r>
        <w:rPr>
          <w:rFonts w:hint="eastAsia"/>
          <w:b/>
          <w:bCs/>
        </w:rPr>
        <w:t>一、收入</w:t>
      </w:r>
      <w:r>
        <w:rPr>
          <w:rFonts w:hint="eastAsia"/>
          <w:b/>
          <w:bCs/>
          <w:lang w:eastAsia="zh-CN"/>
        </w:rPr>
        <w:t>、</w:t>
      </w:r>
      <w:r>
        <w:rPr>
          <w:rFonts w:hint="eastAsia"/>
          <w:b/>
          <w:bCs/>
          <w:lang w:val="en-US" w:eastAsia="zh-CN"/>
        </w:rPr>
        <w:t>支出</w:t>
      </w:r>
      <w:r>
        <w:rPr>
          <w:rFonts w:hint="eastAsia"/>
          <w:b/>
          <w:bCs/>
        </w:rPr>
        <w:t>决算</w:t>
      </w:r>
      <w:r>
        <w:rPr>
          <w:rFonts w:hint="eastAsia"/>
          <w:b/>
          <w:bCs/>
          <w:lang w:val="en-US" w:eastAsia="zh-CN"/>
        </w:rPr>
        <w:t>总体</w:t>
      </w:r>
      <w:r>
        <w:rPr>
          <w:rFonts w:hint="eastAsia"/>
          <w:b/>
          <w:bCs/>
        </w:rPr>
        <w:t>情况说明</w:t>
      </w:r>
      <w:bookmarkEnd w:id="1"/>
    </w:p>
    <w:p>
      <w:pPr>
        <w:numPr>
          <w:ilvl w:val="0"/>
          <w:numId w:val="0"/>
        </w:numPr>
        <w:ind w:firstLine="640" w:firstLineChars="200"/>
        <w:rPr>
          <w:rFonts w:hint="eastAsia"/>
          <w:lang w:val="en-US" w:eastAsia="zh-CN"/>
        </w:rPr>
      </w:pPr>
      <w:bookmarkStart w:id="2" w:name="_Toc2047_WPSOffice_Level1"/>
      <w:r>
        <w:rPr>
          <w:rFonts w:hint="eastAsia"/>
          <w:lang w:val="en-US" w:eastAsia="zh-CN"/>
        </w:rPr>
        <w:t>2021年本单位收入决算为1846.6万元，其中：一般公共预算收入1842.6万元、政府性基金预算收入4万元。</w:t>
      </w:r>
    </w:p>
    <w:p>
      <w:pPr>
        <w:numPr>
          <w:ilvl w:val="0"/>
          <w:numId w:val="0"/>
        </w:numPr>
        <w:ind w:firstLine="640" w:firstLineChars="200"/>
        <w:rPr>
          <w:rFonts w:hint="default"/>
          <w:lang w:val="en-US" w:eastAsia="zh-CN"/>
        </w:rPr>
      </w:pPr>
      <w:r>
        <w:rPr>
          <w:rFonts w:hint="eastAsia"/>
          <w:lang w:val="en-US" w:eastAsia="zh-CN"/>
        </w:rPr>
        <w:t>2021年本单位支出决算为1846.6万元，其中：社会保障和就业支出20.42万元、农林水支出1826.18万元，本单位为2020年底事业单位改制新成立单位，因此与上年无比对数据。</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rPr>
      </w:pPr>
      <w:r>
        <w:rPr>
          <w:rFonts w:hint="eastAsia"/>
          <w:b/>
          <w:bCs/>
        </w:rPr>
        <w:t>二、</w:t>
      </w:r>
      <w:r>
        <w:rPr>
          <w:rFonts w:hint="eastAsia"/>
          <w:b/>
          <w:bCs/>
          <w:lang w:val="en-US" w:eastAsia="zh-CN"/>
        </w:rPr>
        <w:t>收入</w:t>
      </w:r>
      <w:r>
        <w:rPr>
          <w:rFonts w:hint="eastAsia"/>
          <w:b/>
          <w:bCs/>
        </w:rPr>
        <w:t>决算情况说明</w:t>
      </w:r>
      <w:bookmarkEnd w:id="2"/>
    </w:p>
    <w:p>
      <w:pPr>
        <w:numPr>
          <w:ilvl w:val="0"/>
          <w:numId w:val="0"/>
        </w:numPr>
        <w:ind w:firstLine="640" w:firstLineChars="200"/>
        <w:rPr>
          <w:rFonts w:hint="default"/>
          <w:lang w:val="en-US" w:eastAsia="zh-CN"/>
        </w:rPr>
      </w:pPr>
      <w:r>
        <w:rPr>
          <w:rFonts w:hint="eastAsia"/>
          <w:lang w:val="en-US" w:eastAsia="zh-CN"/>
        </w:rPr>
        <w:t>22021年本单位收入决算为1846.6万元，其中：社会保障和就业支出20.42万元、农林水支出1826.18万元。本单位为2020年底事业单位改制新成立单位，因此与上年无比对数据。</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lang w:val="en-US" w:eastAsia="zh-CN"/>
        </w:rPr>
      </w:pPr>
      <w:r>
        <w:rPr>
          <w:rFonts w:hint="eastAsia"/>
          <w:b/>
          <w:bCs/>
          <w:lang w:val="en-US" w:eastAsia="zh-CN"/>
        </w:rPr>
        <w:t>三、支出决算情况说明</w:t>
      </w:r>
    </w:p>
    <w:p>
      <w:pPr>
        <w:numPr>
          <w:ilvl w:val="0"/>
          <w:numId w:val="0"/>
        </w:numPr>
        <w:ind w:firstLine="640" w:firstLineChars="200"/>
        <w:rPr>
          <w:rFonts w:hint="default"/>
          <w:lang w:val="en-US" w:eastAsia="zh-CN"/>
        </w:rPr>
      </w:pPr>
      <w:r>
        <w:rPr>
          <w:rFonts w:hint="eastAsia"/>
          <w:lang w:val="en-US" w:eastAsia="zh-CN"/>
        </w:rPr>
        <w:t xml:space="preserve">   22021年本单位支出决算为1846.6万元，其中：基本支出1277.23万元、项目支出569.37万元。本单位为2020年底事业单位改制新成立单位，因此与上年无比对数据。</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firstLine="643" w:firstLineChars="200"/>
        <w:textAlignment w:val="auto"/>
        <w:rPr>
          <w:rFonts w:hint="eastAsia"/>
          <w:b/>
          <w:bCs/>
          <w:lang w:val="en-US" w:eastAsia="zh-CN"/>
        </w:rPr>
      </w:pPr>
      <w:r>
        <w:rPr>
          <w:rFonts w:hint="eastAsia"/>
          <w:b/>
          <w:bCs/>
          <w:lang w:val="en-US" w:eastAsia="zh-CN"/>
        </w:rPr>
        <w:t>财政拨款收入支出决算总体情况说明</w:t>
      </w:r>
    </w:p>
    <w:p>
      <w:pPr>
        <w:numPr>
          <w:ilvl w:val="0"/>
          <w:numId w:val="0"/>
        </w:numPr>
        <w:ind w:firstLine="640" w:firstLineChars="200"/>
        <w:rPr>
          <w:rFonts w:hint="eastAsia"/>
          <w:lang w:val="en-US" w:eastAsia="zh-CN"/>
        </w:rPr>
      </w:pPr>
      <w:r>
        <w:rPr>
          <w:rFonts w:hint="eastAsia"/>
          <w:lang w:val="en-US" w:eastAsia="zh-CN"/>
        </w:rPr>
        <w:t>2021年本单位收入支出决算为1846.6万元，其中：一般公共预算收入1842.6万元、政府性基金预算收入4万元。本单位为2020年底事业单位改制新成立单位，因此与上年无比对数据。</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643" w:firstLineChars="200"/>
        <w:textAlignment w:val="auto"/>
        <w:rPr>
          <w:rFonts w:hint="eastAsia"/>
          <w:b/>
          <w:bCs/>
          <w:lang w:val="en-US" w:eastAsia="zh-CN"/>
        </w:rPr>
      </w:pPr>
      <w:r>
        <w:rPr>
          <w:rFonts w:hint="eastAsia"/>
          <w:b/>
          <w:bCs/>
          <w:lang w:val="en-US" w:eastAsia="zh-CN"/>
        </w:rPr>
        <w:t>一般公共预算财政拨款支出决算情况说明</w:t>
      </w:r>
    </w:p>
    <w:p>
      <w:pPr>
        <w:numPr>
          <w:ilvl w:val="0"/>
          <w:numId w:val="0"/>
        </w:numPr>
        <w:ind w:leftChars="200"/>
        <w:rPr>
          <w:rFonts w:hint="default"/>
          <w:lang w:val="en-US" w:eastAsia="zh-CN"/>
        </w:rPr>
      </w:pPr>
      <w:r>
        <w:rPr>
          <w:rFonts w:hint="eastAsia"/>
          <w:lang w:val="en-US" w:eastAsia="zh-CN"/>
        </w:rPr>
        <w:t>（一）财政拨款支出决算总体说明</w:t>
      </w:r>
    </w:p>
    <w:p>
      <w:pPr>
        <w:numPr>
          <w:ilvl w:val="0"/>
          <w:numId w:val="0"/>
        </w:numPr>
        <w:ind w:firstLine="640" w:firstLineChars="200"/>
        <w:rPr>
          <w:rFonts w:hint="eastAsia"/>
          <w:lang w:val="en-US" w:eastAsia="zh-CN"/>
        </w:rPr>
      </w:pPr>
      <w:r>
        <w:rPr>
          <w:rFonts w:hint="eastAsia"/>
          <w:lang w:val="en-US" w:eastAsia="zh-CN"/>
        </w:rPr>
        <w:t>2021年度财政拨款支出1846.6万元，本单位为2020年底事业单位改制新成立单位，因此与上年无比对数据。</w:t>
      </w:r>
    </w:p>
    <w:p>
      <w:pPr>
        <w:numPr>
          <w:ilvl w:val="0"/>
          <w:numId w:val="4"/>
        </w:numPr>
        <w:ind w:leftChars="200"/>
        <w:rPr>
          <w:rFonts w:hint="eastAsia"/>
          <w:lang w:val="en-US" w:eastAsia="zh-CN"/>
        </w:rPr>
      </w:pPr>
      <w:r>
        <w:rPr>
          <w:rFonts w:hint="eastAsia"/>
          <w:lang w:val="en-US" w:eastAsia="zh-CN"/>
        </w:rPr>
        <w:t>财政拨款支出决算结构情况</w:t>
      </w:r>
    </w:p>
    <w:p>
      <w:pPr>
        <w:numPr>
          <w:ilvl w:val="0"/>
          <w:numId w:val="0"/>
        </w:numPr>
        <w:ind w:firstLine="640" w:firstLineChars="200"/>
        <w:rPr>
          <w:rFonts w:hint="eastAsia"/>
          <w:lang w:val="en-US" w:eastAsia="zh-CN"/>
        </w:rPr>
      </w:pPr>
      <w:r>
        <w:rPr>
          <w:rFonts w:hint="eastAsia"/>
          <w:lang w:val="en-US" w:eastAsia="zh-CN"/>
        </w:rPr>
        <w:t>2021年度一般公共预算财政拨款支出1846.6万元，主要用于以下方面：工资福利支出264.06万元，占14.29%，商品和服务支出1342.78万元，占72.71%，资本性支出235.76万元，占12.76%。本单位为2020年底事业单位改制新成立单位，因此与上年无比对数据。</w:t>
      </w:r>
    </w:p>
    <w:p>
      <w:pPr>
        <w:numPr>
          <w:ilvl w:val="0"/>
          <w:numId w:val="0"/>
        </w:numPr>
        <w:ind w:firstLine="640" w:firstLineChars="200"/>
        <w:rPr>
          <w:rFonts w:hint="default"/>
          <w:lang w:val="en-US" w:eastAsia="zh-CN"/>
        </w:rPr>
      </w:pPr>
      <w:r>
        <w:rPr>
          <w:rFonts w:hint="eastAsia"/>
          <w:lang w:val="en-US" w:eastAsia="zh-CN"/>
        </w:rPr>
        <w:t>2021年度政府性基金预算财政拨款收入支出4万元。本单位为2020年底事业单位改制新成立单位，因此与上年无比对数据。</w:t>
      </w:r>
    </w:p>
    <w:p>
      <w:pPr>
        <w:numPr>
          <w:ilvl w:val="0"/>
          <w:numId w:val="0"/>
        </w:numPr>
        <w:ind w:firstLine="643" w:firstLineChars="200"/>
        <w:rPr>
          <w:rFonts w:hint="eastAsia"/>
          <w:b/>
          <w:bCs/>
          <w:lang w:val="en-US" w:eastAsia="zh-CN"/>
        </w:rPr>
      </w:pPr>
      <w:r>
        <w:rPr>
          <w:rFonts w:hint="eastAsia"/>
          <w:b/>
          <w:bCs/>
          <w:lang w:val="en-US" w:eastAsia="zh-CN"/>
        </w:rPr>
        <w:t>六、一般公共预算财政拨款基本支出决算表</w:t>
      </w:r>
    </w:p>
    <w:p>
      <w:pPr>
        <w:numPr>
          <w:ilvl w:val="0"/>
          <w:numId w:val="0"/>
        </w:numPr>
        <w:ind w:firstLine="640" w:firstLineChars="200"/>
        <w:rPr>
          <w:rFonts w:hint="default"/>
          <w:lang w:val="en-US" w:eastAsia="zh-CN"/>
        </w:rPr>
      </w:pPr>
      <w:r>
        <w:rPr>
          <w:rFonts w:hint="eastAsia"/>
          <w:lang w:val="en-US" w:eastAsia="zh-CN"/>
        </w:rPr>
        <w:t>2021年财政拨款基本支出1606.84万元，其中：人员经费264.06万元，主要包括基本工资、津贴补贴、奖金、机关事业单位基本养老保险缴费、职工基本医疗保险缴费、其他社会保障缴费、住房公积金；公用经费1342.78万元，主要包括办公费、印刷费、手续费、电费、邮电费、差旅费、劳务费、委托业务费、工会经费、福利费、其他交通费用。</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default"/>
          <w:b/>
          <w:bCs/>
          <w:lang w:val="en-US" w:eastAsia="zh-CN"/>
        </w:rPr>
      </w:pPr>
      <w:r>
        <w:rPr>
          <w:rFonts w:hint="eastAsia"/>
          <w:b/>
          <w:bCs/>
          <w:lang w:val="en-US" w:eastAsia="zh-CN"/>
        </w:rPr>
        <w:t>七、一般公共预算财政拨款“三公”经费支出决算情况说明</w:t>
      </w:r>
    </w:p>
    <w:p>
      <w:pPr>
        <w:numPr>
          <w:ilvl w:val="0"/>
          <w:numId w:val="0"/>
        </w:numPr>
        <w:ind w:firstLine="640" w:firstLineChars="200"/>
        <w:rPr>
          <w:rFonts w:hint="default"/>
          <w:lang w:val="en-US" w:eastAsia="zh-CN"/>
        </w:rPr>
      </w:pPr>
      <w:r>
        <w:rPr>
          <w:rFonts w:hint="eastAsia"/>
          <w:lang w:val="en-US" w:eastAsia="zh-CN"/>
        </w:rPr>
        <w:t>2021年公务用车购置及运行费40.58万元。其中：公务用车购置费12.19万元、公务用车运行费28.39万元。本单位为2020年底事业单位改制新成立单位，因此与上年无比对数据。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default"/>
          <w:b/>
          <w:bCs/>
          <w:lang w:val="en-US" w:eastAsia="zh-CN"/>
        </w:rPr>
      </w:pPr>
      <w:r>
        <w:rPr>
          <w:rFonts w:hint="eastAsia"/>
          <w:b/>
          <w:bCs/>
          <w:lang w:val="en-US" w:eastAsia="zh-CN"/>
        </w:rPr>
        <w:t>八、政府性基金预算拨款收入支出情况说明</w:t>
      </w:r>
    </w:p>
    <w:p>
      <w:pPr>
        <w:numPr>
          <w:ilvl w:val="0"/>
          <w:numId w:val="0"/>
        </w:numPr>
        <w:ind w:firstLine="640" w:firstLineChars="200"/>
        <w:rPr>
          <w:rFonts w:hint="eastAsia"/>
        </w:rPr>
      </w:pPr>
      <w:r>
        <w:rPr>
          <w:rFonts w:hint="eastAsia"/>
          <w:lang w:val="en-US" w:eastAsia="zh-CN"/>
        </w:rPr>
        <w:t>我单位本年政府性基金预算拨款收入支出4万元。本单位为2020年底事业单位改制新成立单位，因此与上年无比对数据。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b/>
          <w:bCs/>
          <w:lang w:val="en-US" w:eastAsia="zh-CN"/>
        </w:rPr>
      </w:pPr>
      <w:r>
        <w:rPr>
          <w:rFonts w:hint="eastAsia"/>
          <w:b/>
          <w:bCs/>
          <w:lang w:val="en-US" w:eastAsia="zh-CN"/>
        </w:rPr>
        <w:t>九、其他重要事项情况说明</w:t>
      </w:r>
    </w:p>
    <w:p>
      <w:pPr>
        <w:numPr>
          <w:ilvl w:val="0"/>
          <w:numId w:val="0"/>
        </w:numPr>
        <w:ind w:firstLine="640" w:firstLineChars="200"/>
        <w:rPr>
          <w:rFonts w:hint="eastAsia"/>
          <w:lang w:val="en-US" w:eastAsia="zh-CN"/>
        </w:rPr>
      </w:pPr>
      <w:r>
        <w:rPr>
          <w:rFonts w:hint="eastAsia"/>
          <w:lang w:val="en-US" w:eastAsia="zh-CN"/>
        </w:rPr>
        <w:t>（一）机关运行经费支出情况</w:t>
      </w:r>
    </w:p>
    <w:p>
      <w:pPr>
        <w:numPr>
          <w:ilvl w:val="0"/>
          <w:numId w:val="0"/>
        </w:numPr>
        <w:ind w:firstLine="640" w:firstLineChars="200"/>
        <w:rPr>
          <w:rFonts w:hint="eastAsia"/>
          <w:lang w:val="en-US" w:eastAsia="zh-CN"/>
        </w:rPr>
      </w:pPr>
      <w:r>
        <w:rPr>
          <w:rFonts w:hint="eastAsia"/>
          <w:lang w:val="en-US" w:eastAsia="zh-CN"/>
        </w:rPr>
        <w:t>我单位2021年度机关运行经费支出1342.78万元。用于一般公共预算安排的基本支出中的日常公用经费支出。本单位为2020年底事业单位改制新成立单位，因此与上年无比对数据。</w:t>
      </w:r>
    </w:p>
    <w:p>
      <w:pPr>
        <w:numPr>
          <w:ilvl w:val="0"/>
          <w:numId w:val="0"/>
        </w:numPr>
        <w:ind w:leftChars="200"/>
        <w:rPr>
          <w:rFonts w:hint="eastAsia"/>
          <w:lang w:val="en-US" w:eastAsia="zh-CN"/>
        </w:rPr>
      </w:pPr>
      <w:r>
        <w:rPr>
          <w:rFonts w:hint="eastAsia"/>
          <w:lang w:val="en-US" w:eastAsia="zh-CN"/>
        </w:rPr>
        <w:t>（二）政府采购支出情况</w:t>
      </w:r>
    </w:p>
    <w:p>
      <w:pPr>
        <w:numPr>
          <w:ilvl w:val="0"/>
          <w:numId w:val="0"/>
        </w:numPr>
        <w:ind w:firstLine="640" w:firstLineChars="200"/>
        <w:rPr>
          <w:rFonts w:hint="eastAsia"/>
          <w:lang w:val="en-US" w:eastAsia="zh-CN"/>
        </w:rPr>
      </w:pPr>
      <w:r>
        <w:rPr>
          <w:rFonts w:hint="eastAsia"/>
          <w:lang w:val="en-US" w:eastAsia="zh-CN"/>
        </w:rPr>
        <w:t xml:space="preserve">  我单位本年度政府采购支出货物41.08万元。本单位为2020年底事业单位改制新成立单位，因此与上年无比对数据。</w:t>
      </w:r>
    </w:p>
    <w:p>
      <w:pPr>
        <w:numPr>
          <w:ilvl w:val="0"/>
          <w:numId w:val="4"/>
        </w:numPr>
        <w:ind w:left="640" w:leftChars="200" w:firstLine="0" w:firstLineChars="0"/>
        <w:rPr>
          <w:rFonts w:hint="eastAsia"/>
          <w:lang w:val="en-US" w:eastAsia="zh-CN"/>
        </w:rPr>
      </w:pPr>
      <w:r>
        <w:rPr>
          <w:rFonts w:hint="eastAsia"/>
          <w:lang w:val="en-US" w:eastAsia="zh-CN"/>
        </w:rPr>
        <w:t>国有资产占用情况</w:t>
      </w:r>
    </w:p>
    <w:p>
      <w:pPr>
        <w:pStyle w:val="2"/>
        <w:rPr>
          <w:rFonts w:hint="default"/>
          <w:lang w:val="en-US" w:eastAsia="zh-CN"/>
        </w:rPr>
      </w:pPr>
      <w:r>
        <w:rPr>
          <w:rFonts w:hint="eastAsia"/>
          <w:lang w:val="en-US" w:eastAsia="zh-CN"/>
        </w:rPr>
        <w:t>截止2021年12月31日，无形资产原值7.87万元、土地、房屋及构筑物6.66万元、家具、用具、装具及动植物10.81万元、专用设备26.87万元、通用设备57.25万元。</w:t>
      </w:r>
      <w:bookmarkStart w:id="20" w:name="_GoBack"/>
      <w:bookmarkEnd w:id="20"/>
    </w:p>
    <w:p>
      <w:pPr>
        <w:keepNext w:val="0"/>
        <w:keepLines w:val="0"/>
        <w:pageBreakBefore w:val="0"/>
        <w:widowControl w:val="0"/>
        <w:kinsoku/>
        <w:wordWrap/>
        <w:overflowPunct/>
        <w:topLinePunct w:val="0"/>
        <w:autoSpaceDE/>
        <w:autoSpaceDN/>
        <w:bidi w:val="0"/>
        <w:adjustRightInd/>
        <w:snapToGrid/>
        <w:spacing w:line="480" w:lineRule="auto"/>
        <w:textAlignment w:val="auto"/>
        <w:rPr>
          <w:b/>
          <w:bCs/>
          <w:sz w:val="24"/>
          <w:szCs w:val="21"/>
        </w:rPr>
      </w:pPr>
      <w:bookmarkStart w:id="3" w:name="_Toc1572_WPSOffice_Level1"/>
      <w:r>
        <w:rPr>
          <w:rFonts w:hint="eastAsia"/>
          <w:b/>
          <w:bCs/>
        </w:rPr>
        <w:t>第四部分 名词解释</w:t>
      </w:r>
      <w:bookmarkEnd w:id="3"/>
    </w:p>
    <w:p>
      <w:pPr>
        <w:ind w:firstLine="640" w:firstLineChars="200"/>
      </w:pPr>
      <w:bookmarkStart w:id="4" w:name="_Toc7842_WPSOffice_Level2"/>
      <w:bookmarkStart w:id="5" w:name="_Toc4894_WPSOffice_Level2"/>
      <w:r>
        <w:rPr>
          <w:rFonts w:hint="eastAsia"/>
        </w:rPr>
        <w:t>1、财政拨款收入：指市级财政当年拨付的资金。</w:t>
      </w:r>
      <w:bookmarkEnd w:id="4"/>
      <w:bookmarkEnd w:id="5"/>
    </w:p>
    <w:p>
      <w:pPr>
        <w:ind w:firstLine="640" w:firstLineChars="200"/>
      </w:pPr>
      <w:bookmarkStart w:id="6" w:name="_Toc27056_WPSOffice_Level2"/>
      <w:bookmarkStart w:id="7" w:name="_Toc16473_WPSOffice_Level2"/>
      <w:r>
        <w:rPr>
          <w:rFonts w:hint="eastAsia"/>
        </w:rPr>
        <w:t>2、其他收入：指除上述“财政拨款收入”等以外的收</w:t>
      </w:r>
      <w:bookmarkEnd w:id="6"/>
      <w:bookmarkEnd w:id="7"/>
    </w:p>
    <w:p>
      <w:r>
        <w:rPr>
          <w:rFonts w:hint="eastAsia"/>
        </w:rPr>
        <w:t>入，主要是存款利息收入等。</w:t>
      </w:r>
    </w:p>
    <w:p>
      <w:pPr>
        <w:ind w:firstLine="640" w:firstLineChars="200"/>
      </w:pPr>
      <w:bookmarkStart w:id="8" w:name="_Toc30393_WPSOffice_Level2"/>
      <w:bookmarkStart w:id="9" w:name="_Toc16973_WPSOffice_Level2"/>
      <w:r>
        <w:rPr>
          <w:rFonts w:hint="eastAsia"/>
        </w:rPr>
        <w:t>3、年初结转和结余：指以前年度工作目标尚未完成，</w:t>
      </w:r>
      <w:bookmarkEnd w:id="8"/>
      <w:bookmarkEnd w:id="9"/>
    </w:p>
    <w:p>
      <w:r>
        <w:rPr>
          <w:rFonts w:hint="eastAsia"/>
        </w:rPr>
        <w:t>结转到本年按有关规定继续使用的资金；或以前年度工作目</w:t>
      </w:r>
    </w:p>
    <w:p>
      <w:r>
        <w:rPr>
          <w:rFonts w:hint="eastAsia"/>
        </w:rPr>
        <w:t>标已完成，剩余的滚存资金。</w:t>
      </w:r>
    </w:p>
    <w:p>
      <w:pPr>
        <w:ind w:firstLine="640" w:firstLineChars="200"/>
      </w:pPr>
      <w:bookmarkStart w:id="10" w:name="_Toc4119_WPSOffice_Level2"/>
      <w:bookmarkStart w:id="11" w:name="_Toc19736_WPSOffice_Level2"/>
      <w:r>
        <w:rPr>
          <w:rFonts w:hint="eastAsia"/>
        </w:rPr>
        <w:t>4、年末结转和结余：指本年和以前年度工作目标尚未</w:t>
      </w:r>
      <w:bookmarkEnd w:id="10"/>
      <w:bookmarkEnd w:id="11"/>
    </w:p>
    <w:p>
      <w:r>
        <w:rPr>
          <w:rFonts w:hint="eastAsia"/>
        </w:rPr>
        <w:t>完成，结转到以后年度按有关规定继续使用的资金；或本年</w:t>
      </w:r>
    </w:p>
    <w:p>
      <w:r>
        <w:rPr>
          <w:rFonts w:hint="eastAsia"/>
        </w:rPr>
        <w:t>和以前年度工作目标已完成，剩余的滚存资金。</w:t>
      </w:r>
    </w:p>
    <w:p>
      <w:pPr>
        <w:ind w:firstLine="640" w:firstLineChars="200"/>
      </w:pPr>
      <w:bookmarkStart w:id="12" w:name="_Toc27264_WPSOffice_Level2"/>
      <w:bookmarkStart w:id="13" w:name="_Toc26868_WPSOffice_Level2"/>
      <w:r>
        <w:rPr>
          <w:rFonts w:hint="eastAsia"/>
        </w:rPr>
        <w:t>5、基本支出：指为保障机构正常运转、完成日常工作</w:t>
      </w:r>
      <w:bookmarkEnd w:id="12"/>
      <w:bookmarkEnd w:id="13"/>
    </w:p>
    <w:p>
      <w:r>
        <w:rPr>
          <w:rFonts w:hint="eastAsia"/>
        </w:rPr>
        <w:t>任务而发生的人员支出和公用支出。</w:t>
      </w:r>
    </w:p>
    <w:p>
      <w:pPr>
        <w:ind w:firstLine="640" w:firstLineChars="200"/>
      </w:pPr>
      <w:bookmarkStart w:id="14" w:name="_Toc28648_WPSOffice_Level2"/>
      <w:bookmarkStart w:id="15" w:name="_Toc22035_WPSOffice_Level2"/>
      <w:r>
        <w:rPr>
          <w:rFonts w:hint="eastAsia"/>
        </w:rPr>
        <w:t>6、项目支出：指在基本支出之外为完成特定行政任务</w:t>
      </w:r>
      <w:bookmarkEnd w:id="14"/>
      <w:bookmarkEnd w:id="15"/>
    </w:p>
    <w:p>
      <w:r>
        <w:rPr>
          <w:rFonts w:hint="eastAsia"/>
        </w:rPr>
        <w:t>和事业发展目标所发生的支出。</w:t>
      </w:r>
    </w:p>
    <w:p>
      <w:pPr>
        <w:ind w:firstLine="640" w:firstLineChars="200"/>
      </w:pPr>
      <w:bookmarkStart w:id="16" w:name="_Toc18744_WPSOffice_Level2"/>
      <w:bookmarkStart w:id="17" w:name="_Toc11338_WPSOffice_Level2"/>
      <w:r>
        <w:rPr>
          <w:rFonts w:hint="eastAsia"/>
        </w:rPr>
        <w:t>7、“三公”经费：指市直部门用一般公共预算安排的</w:t>
      </w:r>
      <w:bookmarkEnd w:id="16"/>
      <w:bookmarkEnd w:id="17"/>
    </w:p>
    <w:p>
      <w:r>
        <w:rPr>
          <w:rFonts w:hint="eastAsia"/>
        </w:rPr>
        <w:t>因公出国（境）费、公务用车购置及运行费和公务接待费。</w:t>
      </w:r>
    </w:p>
    <w:p>
      <w:r>
        <w:rPr>
          <w:rFonts w:hint="eastAsia"/>
        </w:rPr>
        <w:t>其中，因公出国（境）费反映单位公务出国（境）的国际旅</w:t>
      </w:r>
    </w:p>
    <w:p>
      <w:r>
        <w:rPr>
          <w:rFonts w:hint="eastAsia"/>
        </w:rPr>
        <w:t>费、国外城市间交通费、住宿费、伙食费、培训费、公杂费</w:t>
      </w:r>
    </w:p>
    <w:p>
      <w:r>
        <w:rPr>
          <w:rFonts w:hint="eastAsia"/>
        </w:rPr>
        <w:t>等支出；公务用车购置费反映公务用车车辆购置支出（含车</w:t>
      </w:r>
    </w:p>
    <w:p>
      <w:r>
        <w:rPr>
          <w:rFonts w:hint="eastAsia"/>
        </w:rPr>
        <w:t>辆购置税）；公务用车运行维护费反映单位按规定保留的公</w:t>
      </w:r>
    </w:p>
    <w:p>
      <w:r>
        <w:rPr>
          <w:rFonts w:hint="eastAsia"/>
        </w:rPr>
        <w:t>务用车燃料费、维修费、过路过桥费、保险费、安全奖励费</w:t>
      </w:r>
    </w:p>
    <w:p>
      <w:r>
        <w:rPr>
          <w:rFonts w:hint="eastAsia"/>
        </w:rPr>
        <w:t>用等支出；公务接待费反映单位按规定开支的各类公务接待</w:t>
      </w:r>
    </w:p>
    <w:p>
      <w:r>
        <w:rPr>
          <w:rFonts w:hint="eastAsia"/>
        </w:rPr>
        <w:t>（含外宾接待）支出。</w:t>
      </w:r>
    </w:p>
    <w:p>
      <w:pPr>
        <w:ind w:firstLine="640" w:firstLineChars="200"/>
      </w:pPr>
      <w:bookmarkStart w:id="18" w:name="_Toc29148_WPSOffice_Level2"/>
      <w:bookmarkStart w:id="19" w:name="_Toc19043_WPSOffice_Level2"/>
      <w:r>
        <w:rPr>
          <w:rFonts w:hint="eastAsia"/>
        </w:rPr>
        <w:t>8、机关运行经费：指行政单位和参照公务员法管理的</w:t>
      </w:r>
      <w:bookmarkEnd w:id="18"/>
      <w:bookmarkEnd w:id="19"/>
    </w:p>
    <w:p>
      <w:r>
        <w:rPr>
          <w:rFonts w:hint="eastAsia"/>
        </w:rPr>
        <w:t>事业单位使用一般公共预算安排的基本支出中的日常公用</w:t>
      </w:r>
    </w:p>
    <w:p>
      <w:r>
        <w:rPr>
          <w:rFonts w:hint="eastAsia"/>
        </w:rPr>
        <w:t>经费支出。</w:t>
      </w:r>
    </w:p>
    <w:p>
      <w:pPr>
        <w:pStyle w:val="2"/>
        <w:numPr>
          <w:ilvl w:val="0"/>
          <w:numId w:val="0"/>
        </w:numPr>
        <w:ind w:leftChars="0"/>
        <w:jc w:val="both"/>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DCB86"/>
    <w:multiLevelType w:val="singleLevel"/>
    <w:tmpl w:val="985DCB86"/>
    <w:lvl w:ilvl="0" w:tentative="0">
      <w:start w:val="2"/>
      <w:numFmt w:val="chineseCounting"/>
      <w:suff w:val="nothing"/>
      <w:lvlText w:val="（%1）"/>
      <w:lvlJc w:val="left"/>
      <w:rPr>
        <w:rFonts w:hint="eastAsia"/>
      </w:rPr>
    </w:lvl>
  </w:abstractNum>
  <w:abstractNum w:abstractNumId="1">
    <w:nsid w:val="C4E66722"/>
    <w:multiLevelType w:val="singleLevel"/>
    <w:tmpl w:val="C4E66722"/>
    <w:lvl w:ilvl="0" w:tentative="0">
      <w:start w:val="4"/>
      <w:numFmt w:val="chineseCounting"/>
      <w:suff w:val="nothing"/>
      <w:lvlText w:val="%1、"/>
      <w:lvlJc w:val="left"/>
      <w:rPr>
        <w:rFonts w:hint="eastAsia"/>
      </w:rPr>
    </w:lvl>
  </w:abstractNum>
  <w:abstractNum w:abstractNumId="2">
    <w:nsid w:val="4CA50C70"/>
    <w:multiLevelType w:val="multilevel"/>
    <w:tmpl w:val="4CA50C70"/>
    <w:lvl w:ilvl="0" w:tentative="0">
      <w:start w:val="1"/>
      <w:numFmt w:val="decimal"/>
      <w:lvlText w:val="%1、"/>
      <w:lvlJc w:val="left"/>
      <w:pPr>
        <w:tabs>
          <w:tab w:val="left" w:pos="720"/>
        </w:tabs>
        <w:ind w:left="720" w:hanging="720"/>
      </w:pPr>
      <w:rPr>
        <w:rFonts w:hint="default"/>
      </w:rPr>
    </w:lvl>
    <w:lvl w:ilvl="1" w:tentative="0">
      <w:start w:val="2"/>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FE76896"/>
    <w:multiLevelType w:val="singleLevel"/>
    <w:tmpl w:val="6FE76896"/>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Y2FkMzE4YWJkYjFjYzA1NjM4OWM1NDViMjZlYTYifQ=="/>
  </w:docVars>
  <w:rsids>
    <w:rsidRoot w:val="77911925"/>
    <w:rsid w:val="00893649"/>
    <w:rsid w:val="01B464A4"/>
    <w:rsid w:val="03B50BBF"/>
    <w:rsid w:val="06E47A52"/>
    <w:rsid w:val="077A1F3E"/>
    <w:rsid w:val="08CF1E16"/>
    <w:rsid w:val="0922463B"/>
    <w:rsid w:val="09AF5ECF"/>
    <w:rsid w:val="09C212C6"/>
    <w:rsid w:val="09D64DAC"/>
    <w:rsid w:val="0A533412"/>
    <w:rsid w:val="0B187AA4"/>
    <w:rsid w:val="0B5D195B"/>
    <w:rsid w:val="0BF00DCF"/>
    <w:rsid w:val="0D0522AA"/>
    <w:rsid w:val="0DDA1988"/>
    <w:rsid w:val="0E311DF3"/>
    <w:rsid w:val="0ED63EFE"/>
    <w:rsid w:val="0EF97BEC"/>
    <w:rsid w:val="0F4527B0"/>
    <w:rsid w:val="0F865440"/>
    <w:rsid w:val="0FBC344F"/>
    <w:rsid w:val="100131FC"/>
    <w:rsid w:val="10AC63A1"/>
    <w:rsid w:val="12E807BF"/>
    <w:rsid w:val="16DC038D"/>
    <w:rsid w:val="17C41297"/>
    <w:rsid w:val="17FF2717"/>
    <w:rsid w:val="183A72AB"/>
    <w:rsid w:val="1A007516"/>
    <w:rsid w:val="1C1B73F4"/>
    <w:rsid w:val="1C8B27CB"/>
    <w:rsid w:val="1DB42F61"/>
    <w:rsid w:val="1ECD6378"/>
    <w:rsid w:val="1EE01C69"/>
    <w:rsid w:val="1F686DF4"/>
    <w:rsid w:val="1FBE07C2"/>
    <w:rsid w:val="208A0133"/>
    <w:rsid w:val="20C444FE"/>
    <w:rsid w:val="20D64231"/>
    <w:rsid w:val="21EE6F8B"/>
    <w:rsid w:val="22A068A5"/>
    <w:rsid w:val="24966FE0"/>
    <w:rsid w:val="24A3594D"/>
    <w:rsid w:val="24C34ACD"/>
    <w:rsid w:val="255319AC"/>
    <w:rsid w:val="264D6D44"/>
    <w:rsid w:val="26D25F1F"/>
    <w:rsid w:val="27206206"/>
    <w:rsid w:val="27455C6D"/>
    <w:rsid w:val="277F4CDB"/>
    <w:rsid w:val="27897E23"/>
    <w:rsid w:val="27C21DAD"/>
    <w:rsid w:val="27F54F9D"/>
    <w:rsid w:val="2A846AAC"/>
    <w:rsid w:val="2B8D373E"/>
    <w:rsid w:val="2CE850D0"/>
    <w:rsid w:val="2D636111"/>
    <w:rsid w:val="2F566C69"/>
    <w:rsid w:val="305F7D9F"/>
    <w:rsid w:val="31994BEB"/>
    <w:rsid w:val="31B61C41"/>
    <w:rsid w:val="3253123E"/>
    <w:rsid w:val="33582884"/>
    <w:rsid w:val="33AF4B9A"/>
    <w:rsid w:val="344277BC"/>
    <w:rsid w:val="34831F1B"/>
    <w:rsid w:val="34A416DE"/>
    <w:rsid w:val="34BF15AC"/>
    <w:rsid w:val="35731BF7"/>
    <w:rsid w:val="36987B67"/>
    <w:rsid w:val="36E1769B"/>
    <w:rsid w:val="395B007F"/>
    <w:rsid w:val="398A6ADF"/>
    <w:rsid w:val="3A791A5E"/>
    <w:rsid w:val="3C461E13"/>
    <w:rsid w:val="3D2959BD"/>
    <w:rsid w:val="3D4F1C1F"/>
    <w:rsid w:val="3D7E3DFD"/>
    <w:rsid w:val="3FB5178A"/>
    <w:rsid w:val="40073668"/>
    <w:rsid w:val="40F52F5B"/>
    <w:rsid w:val="41652D3C"/>
    <w:rsid w:val="41E06866"/>
    <w:rsid w:val="42310363"/>
    <w:rsid w:val="42892A5A"/>
    <w:rsid w:val="43D3156C"/>
    <w:rsid w:val="446158C2"/>
    <w:rsid w:val="4469669F"/>
    <w:rsid w:val="44B75228"/>
    <w:rsid w:val="459E05CA"/>
    <w:rsid w:val="46672C05"/>
    <w:rsid w:val="46C07C89"/>
    <w:rsid w:val="46E666CD"/>
    <w:rsid w:val="48CE11C6"/>
    <w:rsid w:val="4B7E04E4"/>
    <w:rsid w:val="4BBA1ED6"/>
    <w:rsid w:val="4C673E0C"/>
    <w:rsid w:val="4F730D1A"/>
    <w:rsid w:val="4FA15887"/>
    <w:rsid w:val="5023629C"/>
    <w:rsid w:val="5248023B"/>
    <w:rsid w:val="54191973"/>
    <w:rsid w:val="54EC0B7A"/>
    <w:rsid w:val="55D911AB"/>
    <w:rsid w:val="5774484C"/>
    <w:rsid w:val="591A3FB4"/>
    <w:rsid w:val="59605E6B"/>
    <w:rsid w:val="5B7025B1"/>
    <w:rsid w:val="5C795DF3"/>
    <w:rsid w:val="5D916F27"/>
    <w:rsid w:val="5DC82230"/>
    <w:rsid w:val="5E06116A"/>
    <w:rsid w:val="619D5782"/>
    <w:rsid w:val="62894684"/>
    <w:rsid w:val="62E273F7"/>
    <w:rsid w:val="63387E58"/>
    <w:rsid w:val="63920D1F"/>
    <w:rsid w:val="64095351"/>
    <w:rsid w:val="65F04A1A"/>
    <w:rsid w:val="65F55B8D"/>
    <w:rsid w:val="676236F6"/>
    <w:rsid w:val="684E77D6"/>
    <w:rsid w:val="68ED5188"/>
    <w:rsid w:val="69753ECE"/>
    <w:rsid w:val="69A24F9E"/>
    <w:rsid w:val="6B170353"/>
    <w:rsid w:val="6B52582F"/>
    <w:rsid w:val="6BBF5D79"/>
    <w:rsid w:val="6C8E4365"/>
    <w:rsid w:val="6D126B29"/>
    <w:rsid w:val="6D68133A"/>
    <w:rsid w:val="6DFA6436"/>
    <w:rsid w:val="6E647D53"/>
    <w:rsid w:val="6EAE5472"/>
    <w:rsid w:val="70141305"/>
    <w:rsid w:val="707F70C6"/>
    <w:rsid w:val="715C2505"/>
    <w:rsid w:val="718814E9"/>
    <w:rsid w:val="733E6DC5"/>
    <w:rsid w:val="75542EBB"/>
    <w:rsid w:val="76CA4E14"/>
    <w:rsid w:val="77911925"/>
    <w:rsid w:val="77B27D81"/>
    <w:rsid w:val="77FA34D6"/>
    <w:rsid w:val="78197E01"/>
    <w:rsid w:val="788728A1"/>
    <w:rsid w:val="788B412F"/>
    <w:rsid w:val="79237C71"/>
    <w:rsid w:val="7B62386D"/>
    <w:rsid w:val="7C211032"/>
    <w:rsid w:val="7CD939C0"/>
    <w:rsid w:val="7D341239"/>
    <w:rsid w:val="7DDA593C"/>
    <w:rsid w:val="7EBD0317"/>
    <w:rsid w:val="7F4F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jc w:val="both"/>
    </w:pPr>
    <w:rPr>
      <w:rFonts w:ascii="Calibri" w:hAnsi="Calibri" w:eastAsia="仿宋"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Autospacing="0"/>
      <w:ind w:left="420" w:leftChars="200"/>
    </w:pPr>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6315</Words>
  <Characters>10139</Characters>
  <Lines>0</Lines>
  <Paragraphs>0</Paragraphs>
  <TotalTime>0</TotalTime>
  <ScaleCrop>false</ScaleCrop>
  <LinksUpToDate>false</LinksUpToDate>
  <CharactersWithSpaces>10452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2022-09-15T08:09:00Z</dcterms:created>
  <dc:creator>lenovo</dc:creator>
  <cp:lastModifiedBy>lenovo</cp:lastModifiedBy>
  <dcterms:modified xsi:type="dcterms:W3CDTF">2022-09-16T05:13:54Z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8C629B7CB8C5481291A9B0FE0C32A475</vt:lpwstr>
  </property>
</Properties>
</file>