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80" w:lineRule="exact"/>
        <w:ind w:right="640"/>
        <w:jc w:val="both"/>
        <w:rPr>
          <w:rFonts w:hint="eastAsia" w:ascii="仿宋_GB2312" w:eastAsia="仿宋_GB2312"/>
          <w:b/>
          <w:color w:val="FF0000"/>
          <w:sz w:val="32"/>
          <w:szCs w:val="32"/>
          <w:u w:val="thick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台景社农发〔2017〕95号</w:t>
      </w:r>
    </w:p>
    <w:p>
      <w:pPr>
        <w:spacing w:line="600" w:lineRule="exact"/>
        <w:ind w:left="961" w:leftChars="248" w:hanging="440" w:hanging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widowControl/>
        <w:jc w:val="center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bidi="ar"/>
        </w:rPr>
        <w:t>关于开展五台山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 w:bidi="ar"/>
        </w:rPr>
        <w:t>风景名胜区</w:t>
      </w:r>
    </w:p>
    <w:p>
      <w:pPr>
        <w:widowControl/>
        <w:jc w:val="center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bidi="ar"/>
        </w:rPr>
        <w:t>各级各类学校、幼儿园健康体检和新生入学</w:t>
      </w:r>
    </w:p>
    <w:p>
      <w:pPr>
        <w:widowControl/>
        <w:jc w:val="center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bidi="ar"/>
        </w:rPr>
        <w:t>查验预防接种证的通知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各乡镇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教育管理中心、卫生计生服务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中心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疾控中心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 w:bidi="ar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各乡（镇）卫生院、社区服务站、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各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中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小学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校、幼儿园: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为确保五台山景区各级各类学校、幼儿园，学生及幼儿的身体健康，维护正常教学秩序，根据《中华人民共和国传染病防治法》、《学校卫生工作条例》，卫生部、教育部《关于印发中小学生健康体检管理办法》(卫医字[2008] 37 号文件)、《幼儿园管理条例》和《山西省中小学生健康体检项目和收费标准》(晋教体[2010]6号)等文件精神，开展对全景区各级各类学校、幼儿园，学生及幼儿健康体检(详见附件2 )和对新入学的小学生、幼儿查验预防接种证、查漏补种工作。请各有关单位遵照执行。现将相关事宜通知如下: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1、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五台山风景名胜区卫生计生服务中心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确定由符合体检资质的医疗卫生机构承担辖区内学校、幼儿园的健康体检和检查，新入学学生、新入园幼儿的预防接种证查验和补种。</w:t>
      </w:r>
    </w:p>
    <w:p>
      <w:pPr>
        <w:widowControl/>
        <w:numPr>
          <w:ilvl w:val="0"/>
          <w:numId w:val="1"/>
        </w:numPr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凡是承担学校、幼儿园健康体检和查验预防接种证的乡镇卫生院，负责对辖区学校学生进行健康教育，开展学校传染病、学生常见病的预防和治疗，严防在学校、幼儿园发生如结核病、流行性腮腺炎、水痘、手足口病等传染病和食物中毒等聚集性事件。</w:t>
      </w:r>
    </w:p>
    <w:p>
      <w:pPr>
        <w:widowControl/>
        <w:numPr>
          <w:ilvl w:val="0"/>
          <w:numId w:val="1"/>
        </w:numPr>
        <w:ind w:firstLine="640"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各乡（镇）卫生院负责的学校、幼儿园、发生传染病或其他聚集性疾病，不仅要追究学校、幼儿园领导的责任，同时也要对负责该学校和幼儿园的乡镇卫生院负责人问责，并取消该医疗卫生机构的健康体检资格。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4、坚持每年开展在校学生健康体检和小学幼儿园入园新生、幼儿预防接种证查验工作，并形成工作制度。新生入学、入园体检由医疗机构到学校统一组织集中检查，各学校、幼儿园不得要求学生另行体检。预防接种证查验工作由各小学、幼儿园配合承担体检的乡镇卫生院实施，查验结果由双方签字、单位盖章后存入学校健康教育档案。若发现未接种纳入国家免疫规划疫苗的儿童或无预防接种证的儿童，由学校、幼儿园督促监护人带儿童到当地规定的接种单位补种后方可入学; 如发现无预防接种证、接种程序未完成而入学的，由教育中心和卫计中心对学校进行严肃处理。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5、各级各类学校、幼儿园要依法加强传染病防控，强化疫情报告制度，不得瞒报、漏报、虚报。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6、按照中华人民共和国《传染病防治法》就近属地管理原则，各乡镇卫生院、社区服务站每年11月底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将体检结果报五台山卫计中心。</w:t>
      </w:r>
    </w:p>
    <w:p>
      <w:pPr>
        <w:widowControl/>
        <w:ind w:left="638" w:leftChars="304"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ind w:left="638" w:leftChars="304"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ind w:left="1918" w:leftChars="304" w:hanging="1280" w:hangingChars="400"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附件:1、《五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台山风景名胜区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各级各类学校、幼儿园健康体检领导小组》</w:t>
      </w:r>
    </w:p>
    <w:p>
      <w:pPr>
        <w:widowControl/>
        <w:numPr>
          <w:ilvl w:val="0"/>
          <w:numId w:val="0"/>
        </w:numPr>
        <w:ind w:left="1917" w:leftChars="608" w:hanging="640" w:hangingChars="200"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《五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台山风景名胜区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各级各类学校、幼儿园健康体检实施方案》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</w:p>
    <w:p>
      <w:pPr>
        <w:widowControl/>
        <w:ind w:firstLine="4480" w:firstLineChars="1400"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五台山风景名胜区社会农村工作局</w:t>
      </w:r>
    </w:p>
    <w:p>
      <w:pPr>
        <w:widowControl/>
        <w:ind w:firstLine="2240" w:firstLineChars="7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                2017年12月13日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firstLine="4160" w:firstLineChars="1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160" w:firstLineChars="1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160" w:firstLineChars="1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160" w:firstLineChars="1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160" w:firstLineChars="1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160" w:firstLineChars="1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text" w:horzAnchor="page" w:tblpX="1787" w:tblpY="460"/>
        <w:tblOverlap w:val="never"/>
        <w:tblW w:w="8522" w:type="dxa"/>
        <w:tblInd w:w="0" w:type="dxa"/>
        <w:tblBorders>
          <w:top w:val="single" w:color="000000" w:themeColor="text1" w:sz="12" w:space="0"/>
          <w:left w:val="none" w:color="auto" w:sz="0" w:space="0"/>
          <w:bottom w:val="single" w:color="000000" w:themeColor="text1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12" w:space="0"/>
            <w:left w:val="none" w:color="auto" w:sz="0" w:space="0"/>
            <w:bottom w:val="single" w:color="000000" w:themeColor="text1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五台山风景名胜区社会农村工作局       2017年12月13日印发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</w:t>
            </w: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tabs>
          <w:tab w:val="left" w:pos="2876"/>
        </w:tabs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闂佸吋浜介崕鎶芥偟閿燂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魏碑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  <w:font w:name="方正大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Tw Cen 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造字工房哲黑（非商用）常规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汉仪琥珀体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方隶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劲楷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.黑体-日本语">
    <w:altName w:val="黑体"/>
    <w:panose1 w:val="020B0604000101010104"/>
    <w:charset w:val="86"/>
    <w:family w:val="auto"/>
    <w:pitch w:val="default"/>
    <w:sig w:usb0="00000000" w:usb1="00000000" w:usb2="00000012" w:usb3="00000000" w:csb0="00040001" w:csb1="00000000"/>
  </w:font>
  <w:font w:name="黑体-繁">
    <w:altName w:val="黑体"/>
    <w:panose1 w:val="020B0604000101010104"/>
    <w:charset w:val="86"/>
    <w:family w:val="auto"/>
    <w:pitch w:val="default"/>
    <w:sig w:usb0="00000000" w:usb1="00000000" w:usb2="00000012" w:usb3="00000000" w:csb0="00040001" w:csb1="00000000"/>
  </w:font>
  <w:font w:name="黑体-简">
    <w:altName w:val="黑体"/>
    <w:panose1 w:val="020B0604000101010104"/>
    <w:charset w:val="86"/>
    <w:family w:val="auto"/>
    <w:pitch w:val="default"/>
    <w:sig w:usb0="00000000" w:usb1="00000000" w:usb2="00000012" w:usb3="00000000" w:csb0="00040001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80D3"/>
    <w:multiLevelType w:val="singleLevel"/>
    <w:tmpl w:val="5A1280D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B13EC"/>
    <w:rsid w:val="0704233F"/>
    <w:rsid w:val="07E33E16"/>
    <w:rsid w:val="096875AB"/>
    <w:rsid w:val="0B4662BA"/>
    <w:rsid w:val="12563D06"/>
    <w:rsid w:val="135979F2"/>
    <w:rsid w:val="14427023"/>
    <w:rsid w:val="19C31B7D"/>
    <w:rsid w:val="1B030407"/>
    <w:rsid w:val="21044070"/>
    <w:rsid w:val="21BB13EC"/>
    <w:rsid w:val="21D838BF"/>
    <w:rsid w:val="24786A04"/>
    <w:rsid w:val="24F23727"/>
    <w:rsid w:val="2679154B"/>
    <w:rsid w:val="26F169CA"/>
    <w:rsid w:val="2C37674D"/>
    <w:rsid w:val="30093DA6"/>
    <w:rsid w:val="316A0595"/>
    <w:rsid w:val="367820EA"/>
    <w:rsid w:val="38EF15A8"/>
    <w:rsid w:val="39587F66"/>
    <w:rsid w:val="41174081"/>
    <w:rsid w:val="44914035"/>
    <w:rsid w:val="454E4EC0"/>
    <w:rsid w:val="458F6961"/>
    <w:rsid w:val="487D33CF"/>
    <w:rsid w:val="4BD15E1F"/>
    <w:rsid w:val="50D55631"/>
    <w:rsid w:val="528045CC"/>
    <w:rsid w:val="52C70F87"/>
    <w:rsid w:val="54AB7410"/>
    <w:rsid w:val="55381E44"/>
    <w:rsid w:val="5A517E4F"/>
    <w:rsid w:val="631D26D8"/>
    <w:rsid w:val="64AD2CF1"/>
    <w:rsid w:val="65DF7BF9"/>
    <w:rsid w:val="674C34C3"/>
    <w:rsid w:val="6DFE56E7"/>
    <w:rsid w:val="718E2923"/>
    <w:rsid w:val="79285A43"/>
    <w:rsid w:val="797F65A3"/>
    <w:rsid w:val="798C054C"/>
    <w:rsid w:val="7C7856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2017-12-07T02:24:00Z</dcterms:created>
  <dc:creator>ww</dc:creator>
  <cp:lastModifiedBy>ww</cp:lastModifiedBy>
  <cp:lastPrinted>2017-12-13T02:30:03Z</cp:lastPrinted>
  <dcterms:modified xsi:type="dcterms:W3CDTF">2017-12-13T02:30:11Z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