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黑体" w:eastAsia="黑体"/>
          <w:b/>
          <w:bCs/>
          <w:sz w:val="52"/>
          <w:szCs w:val="52"/>
        </w:rPr>
      </w:pPr>
    </w:p>
    <w:p>
      <w:pPr>
        <w:spacing w:line="240" w:lineRule="auto"/>
        <w:ind w:firstLine="0" w:firstLineChars="0"/>
        <w:jc w:val="center"/>
        <w:rPr>
          <w:rFonts w:ascii="黑体" w:eastAsia="黑体"/>
          <w:b/>
          <w:bCs/>
          <w:sz w:val="52"/>
          <w:szCs w:val="52"/>
        </w:rPr>
      </w:pPr>
    </w:p>
    <w:p>
      <w:pPr>
        <w:spacing w:line="240" w:lineRule="auto"/>
        <w:ind w:firstLine="0" w:firstLineChars="0"/>
        <w:jc w:val="center"/>
        <w:rPr>
          <w:rFonts w:ascii="黑体" w:eastAsia="黑体"/>
          <w:b/>
          <w:bCs/>
          <w:sz w:val="72"/>
          <w:szCs w:val="72"/>
        </w:rPr>
      </w:pPr>
      <w:r>
        <w:rPr>
          <w:rFonts w:hint="eastAsia"/>
          <w:b/>
          <w:bCs/>
          <w:sz w:val="72"/>
        </w:rPr>
        <w:t>建设项目环境影响报告表</w:t>
      </w:r>
    </w:p>
    <w:p>
      <w:pPr>
        <w:spacing w:beforeLines="150" w:after="100" w:afterAutospacing="1" w:line="276" w:lineRule="auto"/>
        <w:ind w:firstLine="0" w:firstLineChars="0"/>
        <w:jc w:val="center"/>
        <w:rPr>
          <w:b/>
          <w:sz w:val="44"/>
          <w:szCs w:val="44"/>
        </w:rPr>
      </w:pPr>
      <w:r>
        <w:rPr>
          <w:rFonts w:hint="eastAsia"/>
          <w:b/>
          <w:sz w:val="44"/>
          <w:szCs w:val="44"/>
        </w:rPr>
        <w:t>（公示版）</w:t>
      </w: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spacing w:line="360" w:lineRule="auto"/>
        <w:ind w:firstLine="634"/>
        <w:rPr>
          <w:b/>
          <w:bCs/>
          <w:spacing w:val="-2"/>
          <w:sz w:val="32"/>
          <w:u w:val="single"/>
        </w:rPr>
      </w:pPr>
      <w:r>
        <w:rPr>
          <w:rFonts w:hint="eastAsia"/>
          <w:b/>
          <w:bCs/>
          <w:spacing w:val="-2"/>
          <w:sz w:val="32"/>
        </w:rPr>
        <w:t xml:space="preserve">项 目 名 称　: </w:t>
      </w:r>
      <w:r>
        <w:rPr>
          <w:rFonts w:hint="eastAsia"/>
          <w:b/>
          <w:bCs/>
          <w:spacing w:val="-2"/>
          <w:sz w:val="32"/>
          <w:u w:val="single"/>
        </w:rPr>
        <w:t>五台山警苑山庄（警苑工作站）建设项目</w:t>
      </w:r>
    </w:p>
    <w:p>
      <w:pPr>
        <w:spacing w:line="480" w:lineRule="auto"/>
        <w:ind w:firstLine="446" w:firstLineChars="146"/>
        <w:rPr>
          <w:rFonts w:ascii="黑体" w:eastAsia="黑体"/>
          <w:spacing w:val="-8"/>
          <w:sz w:val="32"/>
        </w:rPr>
      </w:pPr>
      <w:r>
        <w:rPr>
          <w:rFonts w:hint="eastAsia"/>
          <w:b/>
          <w:bCs/>
          <w:spacing w:val="-8"/>
          <w:sz w:val="32"/>
        </w:rPr>
        <w:t xml:space="preserve">建设单位（盖章）: </w:t>
      </w:r>
      <w:r>
        <w:rPr>
          <w:rFonts w:hint="eastAsia"/>
          <w:b/>
          <w:bCs/>
          <w:spacing w:val="-8"/>
          <w:sz w:val="32"/>
          <w:u w:val="single"/>
        </w:rPr>
        <w:t>忻州市公安局五台山风景名胜区公安分局</w:t>
      </w: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sz w:val="32"/>
        </w:rPr>
      </w:pPr>
    </w:p>
    <w:p>
      <w:pPr>
        <w:ind w:firstLine="0" w:firstLineChars="0"/>
        <w:rPr>
          <w:rFonts w:ascii="黑体" w:eastAsia="黑体"/>
          <w:b/>
          <w:bCs/>
          <w:sz w:val="32"/>
        </w:rPr>
      </w:pPr>
    </w:p>
    <w:p>
      <w:pPr>
        <w:ind w:firstLine="0" w:firstLineChars="0"/>
        <w:jc w:val="center"/>
        <w:rPr>
          <w:b/>
          <w:bCs/>
        </w:rPr>
        <w:sectPr>
          <w:headerReference r:id="rId7" w:type="first"/>
          <w:footerReference r:id="rId10" w:type="first"/>
          <w:headerReference r:id="rId5" w:type="default"/>
          <w:footerReference r:id="rId8" w:type="default"/>
          <w:headerReference r:id="rId6" w:type="even"/>
          <w:footerReference r:id="rId9" w:type="even"/>
          <w:pgSz w:w="11906" w:h="16838"/>
          <w:pgMar w:top="1701" w:right="1701" w:bottom="1701" w:left="1701" w:header="1418" w:footer="1418" w:gutter="0"/>
          <w:cols w:space="425" w:num="1"/>
          <w:docGrid w:linePitch="312" w:charSpace="0"/>
        </w:sectPr>
      </w:pPr>
      <w:r>
        <w:rPr>
          <w:rFonts w:hint="eastAsia" w:ascii="黑体" w:eastAsia="黑体"/>
          <w:b/>
          <w:bCs/>
          <w:sz w:val="32"/>
        </w:rPr>
        <w:t>编制日期：二〇一八年二月</w:t>
      </w:r>
    </w:p>
    <w:p>
      <w:pPr>
        <w:ind w:firstLine="0" w:firstLineChars="0"/>
        <w:jc w:val="center"/>
        <w:rPr>
          <w:sz w:val="32"/>
        </w:rPr>
      </w:pPr>
      <w:r>
        <w:rPr>
          <w:sz w:val="32"/>
        </w:rPr>
        <w:t>《建设项目环境影响报告表》编制说明</w:t>
      </w:r>
    </w:p>
    <w:p>
      <w:pPr>
        <w:ind w:firstLine="560"/>
        <w:jc w:val="center"/>
        <w:rPr>
          <w:sz w:val="28"/>
        </w:rPr>
      </w:pPr>
    </w:p>
    <w:p>
      <w:pPr>
        <w:spacing w:line="420" w:lineRule="auto"/>
        <w:ind w:firstLine="560"/>
        <w:rPr>
          <w:sz w:val="28"/>
        </w:rPr>
      </w:pPr>
      <w:r>
        <w:rPr>
          <w:sz w:val="28"/>
        </w:rPr>
        <w:t>《建设项目环境影响报告表》由具有从事环境影响评价工作资质的单位编制。</w:t>
      </w:r>
    </w:p>
    <w:p>
      <w:pPr>
        <w:spacing w:line="420" w:lineRule="auto"/>
        <w:ind w:firstLine="560"/>
        <w:rPr>
          <w:sz w:val="28"/>
        </w:rPr>
      </w:pPr>
      <w:r>
        <w:rPr>
          <w:sz w:val="28"/>
        </w:rPr>
        <w:t>1. 项目名称――指项目立项批复时的名称，应不超过30个字（两个英文字段作一个汉字）。</w:t>
      </w:r>
    </w:p>
    <w:p>
      <w:pPr>
        <w:spacing w:line="420" w:lineRule="auto"/>
        <w:ind w:firstLine="560"/>
        <w:rPr>
          <w:sz w:val="28"/>
        </w:rPr>
      </w:pPr>
      <w:r>
        <w:rPr>
          <w:sz w:val="28"/>
        </w:rPr>
        <w:t>2. 建设地点――指项目所在地详细地址，公路、铁路应填写起止地点。</w:t>
      </w:r>
    </w:p>
    <w:p>
      <w:pPr>
        <w:spacing w:line="420" w:lineRule="auto"/>
        <w:ind w:firstLine="560"/>
        <w:rPr>
          <w:sz w:val="28"/>
        </w:rPr>
      </w:pPr>
      <w:r>
        <w:rPr>
          <w:sz w:val="28"/>
        </w:rPr>
        <w:t>3. 行业类别――按国标填写。</w:t>
      </w:r>
    </w:p>
    <w:p>
      <w:pPr>
        <w:spacing w:line="420" w:lineRule="auto"/>
        <w:ind w:firstLine="560"/>
        <w:rPr>
          <w:sz w:val="28"/>
        </w:rPr>
      </w:pPr>
      <w:r>
        <w:rPr>
          <w:sz w:val="28"/>
        </w:rPr>
        <w:t>4. 总投资――指项目投资总额。</w:t>
      </w:r>
    </w:p>
    <w:p>
      <w:pPr>
        <w:spacing w:line="420" w:lineRule="auto"/>
        <w:ind w:firstLine="560"/>
        <w:rPr>
          <w:sz w:val="28"/>
        </w:rPr>
      </w:pPr>
      <w:r>
        <w:rPr>
          <w:sz w:val="28"/>
        </w:rPr>
        <w:t>5. 主要环境保护目标――指项目区周围一定范围内集中居民住宅区、学校、医院、保护文物、风景名胜区、水源地和生态敏感点等，应尽可能给出保护目标、性质、规模和距厂界距离等。</w:t>
      </w:r>
    </w:p>
    <w:p>
      <w:pPr>
        <w:spacing w:line="420" w:lineRule="auto"/>
        <w:ind w:firstLine="560"/>
        <w:rPr>
          <w:sz w:val="28"/>
        </w:rPr>
      </w:pPr>
      <w:r>
        <w:rPr>
          <w:sz w:val="28"/>
        </w:rPr>
        <w:t>6. 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20" w:lineRule="auto"/>
        <w:ind w:firstLine="560"/>
        <w:rPr>
          <w:sz w:val="28"/>
        </w:rPr>
      </w:pPr>
      <w:r>
        <w:rPr>
          <w:sz w:val="28"/>
        </w:rPr>
        <w:t>7. 预审意见――由行业主管部门填写答复意见，无主管部门项目，可不填。</w:t>
      </w:r>
    </w:p>
    <w:p>
      <w:pPr>
        <w:spacing w:line="420" w:lineRule="auto"/>
        <w:ind w:firstLine="560"/>
        <w:rPr>
          <w:sz w:val="28"/>
        </w:rPr>
      </w:pPr>
      <w:r>
        <w:rPr>
          <w:sz w:val="28"/>
        </w:rPr>
        <w:t>8. 审批意见――由负责审批该项目的环境保护行政主管部门批复</w:t>
      </w:r>
      <w:r>
        <w:rPr>
          <w:rFonts w:hint="eastAsia"/>
          <w:sz w:val="28"/>
        </w:rPr>
        <w:t>。</w:t>
      </w:r>
    </w:p>
    <w:p>
      <w:pPr>
        <w:widowControl/>
        <w:spacing w:line="240" w:lineRule="auto"/>
        <w:ind w:firstLine="0" w:firstLineChars="0"/>
        <w:jc w:val="left"/>
      </w:pPr>
      <w:r>
        <w:br w:type="page"/>
      </w:r>
    </w:p>
    <w:p>
      <w:pPr>
        <w:spacing w:line="360" w:lineRule="exact"/>
        <w:ind w:firstLine="0" w:firstLineChars="0"/>
        <w:jc w:val="center"/>
        <w:rPr>
          <w:b/>
          <w:bCs/>
        </w:rPr>
        <w:sectPr>
          <w:headerReference r:id="rId13" w:type="first"/>
          <w:footerReference r:id="rId16" w:type="first"/>
          <w:headerReference r:id="rId11" w:type="default"/>
          <w:footerReference r:id="rId14" w:type="default"/>
          <w:headerReference r:id="rId12" w:type="even"/>
          <w:footerReference r:id="rId15" w:type="even"/>
          <w:pgSz w:w="11906" w:h="16838"/>
          <w:pgMar w:top="1701" w:right="1701" w:bottom="1701" w:left="1701" w:header="1418" w:footer="1418" w:gutter="0"/>
          <w:pgNumType w:start="1"/>
          <w:cols w:space="425" w:num="1"/>
          <w:docGrid w:linePitch="312" w:charSpace="0"/>
        </w:sectPr>
      </w:pPr>
    </w:p>
    <w:tbl>
      <w:tblPr>
        <w:tblStyle w:val="49"/>
        <w:tblW w:w="5000" w:type="pct"/>
        <w:jc w:val="center"/>
        <w:tblBorders>
          <w:top w:val="none" w:color="auto" w:sz="0"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831"/>
        <w:gridCol w:w="290"/>
        <w:gridCol w:w="720"/>
        <w:gridCol w:w="351"/>
        <w:gridCol w:w="569"/>
        <w:gridCol w:w="905"/>
        <w:gridCol w:w="555"/>
        <w:gridCol w:w="739"/>
        <w:gridCol w:w="375"/>
        <w:gridCol w:w="1177"/>
      </w:tblGrid>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93" w:type="pct"/>
            <w:vAlign w:val="center"/>
          </w:tcPr>
          <w:p>
            <w:pPr>
              <w:spacing w:line="360" w:lineRule="exact"/>
              <w:ind w:firstLine="0" w:firstLineChars="0"/>
              <w:jc w:val="center"/>
              <w:rPr>
                <w:b/>
                <w:bCs/>
              </w:rPr>
            </w:pPr>
            <w:r>
              <w:rPr>
                <w:rFonts w:eastAsia="黑体"/>
                <w:b/>
                <w:bCs/>
              </w:rPr>
              <w:pict>
                <v:shape id="Text Box 2501" o:spid="_x0000_s1026" o:spt="202" type="#_x0000_t202" style="position:absolute;left:0pt;margin-left:-6.6pt;margin-top:-34.75pt;height:30.85pt;width:430.6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">
                  <v:path/>
                  <v:fill on="f" focussize="0,0"/>
                  <v:stroke on="f" color="#FFFFFF" joinstyle="miter"/>
                  <v:imagedata o:title=""/>
                  <o:lock v:ext="edit"/>
                  <v:textbox>
                    <w:txbxContent>
                      <w:p>
                        <w:pPr>
                          <w:ind w:firstLine="0" w:firstLineChars="0"/>
                          <w:rPr>
                            <w:rFonts w:ascii="黑体" w:eastAsia="黑体"/>
                            <w:b/>
                            <w:bCs/>
                            <w:color w:val="000000"/>
                            <w:sz w:val="30"/>
                          </w:rPr>
                        </w:pPr>
                        <w:r>
                          <w:rPr>
                            <w:rFonts w:hint="eastAsia" w:ascii="黑体" w:eastAsia="黑体"/>
                            <w:b/>
                            <w:bCs/>
                            <w:color w:val="000000"/>
                            <w:sz w:val="30"/>
                          </w:rPr>
                          <w:t>建设项目基本情况</w:t>
                        </w:r>
                      </w:p>
                    </w:txbxContent>
                  </v:textbox>
                </v:shape>
              </w:pict>
            </w:r>
            <w:r>
              <w:rPr>
                <w:rFonts w:hint="eastAsia"/>
                <w:b/>
                <w:bCs/>
              </w:rPr>
              <w:t>项目名称</w:t>
            </w:r>
          </w:p>
        </w:tc>
        <w:tc>
          <w:tcPr>
            <w:tcW w:w="4307" w:type="pct"/>
            <w:gridSpan w:val="10"/>
            <w:vAlign w:val="center"/>
          </w:tcPr>
          <w:p>
            <w:pPr>
              <w:spacing w:line="360" w:lineRule="exact"/>
              <w:ind w:firstLine="480"/>
              <w:jc w:val="center"/>
            </w:pPr>
            <w:r>
              <w:rPr>
                <w:rFonts w:hint="eastAsia"/>
              </w:rPr>
              <w:t>五台山警苑山庄（警苑工作站）建设项目</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93" w:type="pct"/>
            <w:vAlign w:val="center"/>
          </w:tcPr>
          <w:p>
            <w:pPr>
              <w:spacing w:line="360" w:lineRule="exact"/>
              <w:ind w:firstLine="0" w:firstLineChars="0"/>
              <w:jc w:val="center"/>
              <w:rPr>
                <w:b/>
                <w:bCs/>
              </w:rPr>
            </w:pPr>
            <w:r>
              <w:rPr>
                <w:rFonts w:hint="eastAsia"/>
                <w:b/>
                <w:bCs/>
              </w:rPr>
              <w:t>建设单位</w:t>
            </w:r>
          </w:p>
        </w:tc>
        <w:tc>
          <w:tcPr>
            <w:tcW w:w="4307" w:type="pct"/>
            <w:gridSpan w:val="10"/>
            <w:vAlign w:val="center"/>
          </w:tcPr>
          <w:p>
            <w:pPr>
              <w:spacing w:line="360" w:lineRule="exact"/>
              <w:ind w:firstLine="480"/>
              <w:jc w:val="center"/>
            </w:pPr>
            <w:r>
              <w:rPr>
                <w:rFonts w:hint="eastAsia"/>
              </w:rPr>
              <w:t>忻州市公安局五台山风景名胜区公安分局</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93" w:type="pct"/>
            <w:vAlign w:val="center"/>
          </w:tcPr>
          <w:p>
            <w:pPr>
              <w:spacing w:line="360" w:lineRule="exact"/>
              <w:ind w:firstLine="0" w:firstLineChars="0"/>
              <w:jc w:val="center"/>
              <w:rPr>
                <w:b/>
                <w:bCs/>
              </w:rPr>
            </w:pPr>
            <w:r>
              <w:rPr>
                <w:rFonts w:hint="eastAsia"/>
                <w:b/>
                <w:bCs/>
              </w:rPr>
              <w:t>法人代表</w:t>
            </w:r>
          </w:p>
        </w:tc>
        <w:tc>
          <w:tcPr>
            <w:tcW w:w="1830" w:type="pct"/>
            <w:gridSpan w:val="4"/>
            <w:vAlign w:val="center"/>
          </w:tcPr>
          <w:p>
            <w:pPr>
              <w:spacing w:line="360" w:lineRule="exact"/>
              <w:ind w:firstLine="0" w:firstLineChars="0"/>
              <w:jc w:val="center"/>
              <w:rPr>
                <w:rFonts w:ascii="宋体" w:cs="宋体"/>
                <w:kern w:val="0"/>
                <w:position w:val="0"/>
              </w:rPr>
            </w:pPr>
            <w:r>
              <w:rPr>
                <w:rFonts w:hint="eastAsia" w:ascii="宋体" w:cs="宋体"/>
                <w:kern w:val="0"/>
                <w:position w:val="0"/>
              </w:rPr>
              <w:t>刑静</w:t>
            </w:r>
          </w:p>
        </w:tc>
        <w:tc>
          <w:tcPr>
            <w:tcW w:w="845" w:type="pct"/>
            <w:gridSpan w:val="2"/>
            <w:vAlign w:val="center"/>
          </w:tcPr>
          <w:p>
            <w:pPr>
              <w:spacing w:line="360" w:lineRule="exact"/>
              <w:ind w:firstLine="0" w:firstLineChars="0"/>
              <w:jc w:val="center"/>
              <w:rPr>
                <w:b/>
                <w:bCs/>
              </w:rPr>
            </w:pPr>
            <w:r>
              <w:rPr>
                <w:rFonts w:hint="eastAsia"/>
                <w:b/>
                <w:bCs/>
              </w:rPr>
              <w:t>联系人</w:t>
            </w:r>
          </w:p>
        </w:tc>
        <w:tc>
          <w:tcPr>
            <w:tcW w:w="1632" w:type="pct"/>
            <w:gridSpan w:val="4"/>
            <w:vAlign w:val="center"/>
          </w:tcPr>
          <w:p>
            <w:pPr>
              <w:spacing w:line="360" w:lineRule="exact"/>
              <w:ind w:firstLine="0" w:firstLineChars="0"/>
              <w:jc w:val="center"/>
              <w:rPr>
                <w:rFonts w:ascii="宋体" w:cs="宋体"/>
                <w:kern w:val="0"/>
                <w:position w:val="0"/>
              </w:rPr>
            </w:pPr>
            <w:r>
              <w:rPr>
                <w:rFonts w:hint="eastAsia" w:ascii="宋体" w:cs="宋体"/>
                <w:kern w:val="0"/>
                <w:position w:val="0"/>
              </w:rPr>
              <w:t>郝永光</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93" w:type="pct"/>
            <w:vAlign w:val="center"/>
          </w:tcPr>
          <w:p>
            <w:pPr>
              <w:spacing w:line="360" w:lineRule="exact"/>
              <w:ind w:firstLine="0" w:firstLineChars="0"/>
              <w:jc w:val="center"/>
              <w:rPr>
                <w:b/>
                <w:bCs/>
              </w:rPr>
            </w:pPr>
            <w:r>
              <w:rPr>
                <w:rFonts w:hint="eastAsia"/>
                <w:b/>
                <w:bCs/>
              </w:rPr>
              <w:t>通讯地址</w:t>
            </w:r>
          </w:p>
        </w:tc>
        <w:tc>
          <w:tcPr>
            <w:tcW w:w="4307" w:type="pct"/>
            <w:gridSpan w:val="10"/>
            <w:vAlign w:val="center"/>
          </w:tcPr>
          <w:p>
            <w:pPr>
              <w:spacing w:line="360" w:lineRule="exact"/>
              <w:ind w:firstLine="480"/>
              <w:jc w:val="center"/>
            </w:pPr>
            <w:r>
              <w:rPr>
                <w:rFonts w:hint="eastAsia"/>
              </w:rPr>
              <w:t>忻州市台怀镇杨柏峪村南路206号</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93" w:type="pct"/>
            <w:vAlign w:val="center"/>
          </w:tcPr>
          <w:p>
            <w:pPr>
              <w:spacing w:line="360" w:lineRule="exact"/>
              <w:ind w:firstLine="0" w:firstLineChars="0"/>
              <w:jc w:val="center"/>
              <w:rPr>
                <w:b/>
                <w:bCs/>
              </w:rPr>
            </w:pPr>
            <w:r>
              <w:rPr>
                <w:rFonts w:hint="eastAsia"/>
                <w:b/>
                <w:bCs/>
              </w:rPr>
              <w:t>联系电话</w:t>
            </w:r>
          </w:p>
        </w:tc>
        <w:tc>
          <w:tcPr>
            <w:tcW w:w="1050" w:type="pct"/>
            <w:vAlign w:val="center"/>
          </w:tcPr>
          <w:p>
            <w:pPr>
              <w:spacing w:line="360" w:lineRule="exact"/>
              <w:ind w:firstLine="0" w:firstLineChars="0"/>
              <w:jc w:val="center"/>
            </w:pPr>
            <w:r>
              <w:rPr>
                <w:rFonts w:hint="eastAsia"/>
              </w:rPr>
              <w:t>13593239009</w:t>
            </w:r>
          </w:p>
        </w:tc>
        <w:tc>
          <w:tcPr>
            <w:tcW w:w="579" w:type="pct"/>
            <w:gridSpan w:val="2"/>
            <w:vAlign w:val="center"/>
          </w:tcPr>
          <w:p>
            <w:pPr>
              <w:spacing w:line="360" w:lineRule="exact"/>
              <w:ind w:firstLine="0" w:firstLineChars="0"/>
              <w:jc w:val="center"/>
              <w:rPr>
                <w:b/>
                <w:bCs/>
              </w:rPr>
            </w:pPr>
            <w:r>
              <w:rPr>
                <w:rFonts w:hint="eastAsia"/>
                <w:b/>
                <w:bCs/>
              </w:rPr>
              <w:t>传真</w:t>
            </w:r>
          </w:p>
        </w:tc>
        <w:tc>
          <w:tcPr>
            <w:tcW w:w="1046" w:type="pct"/>
            <w:gridSpan w:val="3"/>
            <w:vAlign w:val="center"/>
          </w:tcPr>
          <w:p>
            <w:pPr>
              <w:spacing w:line="360" w:lineRule="exact"/>
              <w:ind w:firstLine="480"/>
              <w:jc w:val="center"/>
            </w:pPr>
          </w:p>
        </w:tc>
        <w:tc>
          <w:tcPr>
            <w:tcW w:w="742" w:type="pct"/>
            <w:gridSpan w:val="2"/>
            <w:vAlign w:val="center"/>
          </w:tcPr>
          <w:p>
            <w:pPr>
              <w:spacing w:line="360" w:lineRule="exact"/>
              <w:ind w:firstLine="0" w:firstLineChars="0"/>
              <w:jc w:val="center"/>
              <w:rPr>
                <w:b/>
                <w:bCs/>
              </w:rPr>
            </w:pPr>
            <w:r>
              <w:rPr>
                <w:rFonts w:hint="eastAsia"/>
                <w:b/>
                <w:bCs/>
              </w:rPr>
              <w:t>邮政编码</w:t>
            </w:r>
          </w:p>
        </w:tc>
        <w:tc>
          <w:tcPr>
            <w:tcW w:w="890" w:type="pct"/>
            <w:gridSpan w:val="2"/>
            <w:vAlign w:val="center"/>
          </w:tcPr>
          <w:p>
            <w:pPr>
              <w:spacing w:line="360" w:lineRule="exact"/>
              <w:ind w:firstLine="0" w:firstLineChars="0"/>
              <w:jc w:val="center"/>
            </w:pPr>
            <w:r>
              <w:t>035515</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PrEx>
        <w:trPr>
          <w:trHeight w:val="346" w:hRule="atLeast"/>
          <w:jc w:val="center"/>
        </w:trPr>
        <w:tc>
          <w:tcPr>
            <w:tcW w:w="693" w:type="pct"/>
            <w:vAlign w:val="center"/>
          </w:tcPr>
          <w:p>
            <w:pPr>
              <w:spacing w:line="360" w:lineRule="exact"/>
              <w:ind w:firstLine="0" w:firstLineChars="0"/>
              <w:jc w:val="center"/>
              <w:rPr>
                <w:b/>
                <w:bCs/>
              </w:rPr>
            </w:pPr>
            <w:r>
              <w:rPr>
                <w:rFonts w:hint="eastAsia"/>
                <w:b/>
                <w:bCs/>
              </w:rPr>
              <w:t>建设地点</w:t>
            </w:r>
          </w:p>
        </w:tc>
        <w:tc>
          <w:tcPr>
            <w:tcW w:w="4307" w:type="pct"/>
            <w:gridSpan w:val="10"/>
            <w:vAlign w:val="center"/>
          </w:tcPr>
          <w:p>
            <w:pPr>
              <w:spacing w:line="360" w:lineRule="exact"/>
              <w:ind w:firstLine="480"/>
              <w:jc w:val="center"/>
            </w:pPr>
            <w:r>
              <w:rPr>
                <w:rFonts w:hint="eastAsia"/>
              </w:rPr>
              <w:t>五台山风景名胜区台怀镇西湾村东南105m处</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93" w:type="pct"/>
            <w:vAlign w:val="center"/>
          </w:tcPr>
          <w:p>
            <w:pPr>
              <w:spacing w:line="360" w:lineRule="exact"/>
              <w:ind w:firstLine="0" w:firstLineChars="0"/>
              <w:jc w:val="center"/>
              <w:rPr>
                <w:b/>
                <w:bCs/>
              </w:rPr>
            </w:pPr>
            <w:r>
              <w:rPr>
                <w:rFonts w:hint="eastAsia"/>
                <w:b/>
                <w:bCs/>
              </w:rPr>
              <w:t>立项审批部门</w:t>
            </w:r>
          </w:p>
        </w:tc>
        <w:tc>
          <w:tcPr>
            <w:tcW w:w="1830" w:type="pct"/>
            <w:gridSpan w:val="4"/>
            <w:vAlign w:val="center"/>
          </w:tcPr>
          <w:p>
            <w:pPr>
              <w:spacing w:line="360" w:lineRule="exact"/>
              <w:ind w:firstLine="0" w:firstLineChars="0"/>
              <w:jc w:val="center"/>
            </w:pPr>
            <w:r>
              <w:rPr>
                <w:rFonts w:hint="eastAsia"/>
              </w:rPr>
              <w:t>五台山风景名胜区旅游发展局</w:t>
            </w:r>
          </w:p>
        </w:tc>
        <w:tc>
          <w:tcPr>
            <w:tcW w:w="845" w:type="pct"/>
            <w:gridSpan w:val="2"/>
            <w:vAlign w:val="center"/>
          </w:tcPr>
          <w:p>
            <w:pPr>
              <w:spacing w:line="360" w:lineRule="exact"/>
              <w:ind w:firstLine="0" w:firstLineChars="0"/>
              <w:jc w:val="center"/>
              <w:rPr>
                <w:b/>
                <w:bCs/>
              </w:rPr>
            </w:pPr>
            <w:r>
              <w:rPr>
                <w:rFonts w:hint="eastAsia"/>
                <w:b/>
                <w:bCs/>
              </w:rPr>
              <w:t>批准文号</w:t>
            </w:r>
          </w:p>
        </w:tc>
        <w:tc>
          <w:tcPr>
            <w:tcW w:w="1632" w:type="pct"/>
            <w:gridSpan w:val="4"/>
            <w:vAlign w:val="center"/>
          </w:tcPr>
          <w:p>
            <w:pPr>
              <w:spacing w:line="360" w:lineRule="exact"/>
              <w:ind w:firstLine="0" w:firstLineChars="0"/>
              <w:jc w:val="center"/>
            </w:pPr>
            <w:r>
              <w:rPr>
                <w:rFonts w:hint="eastAsia"/>
              </w:rPr>
              <w:t>台景旅发[2017]76号</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PrEx>
        <w:trPr>
          <w:trHeight w:val="722" w:hRule="atLeast"/>
          <w:jc w:val="center"/>
        </w:trPr>
        <w:tc>
          <w:tcPr>
            <w:tcW w:w="693" w:type="pct"/>
            <w:vAlign w:val="center"/>
          </w:tcPr>
          <w:p>
            <w:pPr>
              <w:spacing w:line="360" w:lineRule="exact"/>
              <w:ind w:firstLine="0" w:firstLineChars="0"/>
              <w:jc w:val="center"/>
              <w:rPr>
                <w:b/>
                <w:bCs/>
              </w:rPr>
            </w:pPr>
            <w:r>
              <w:rPr>
                <w:rFonts w:hint="eastAsia"/>
                <w:b/>
                <w:bCs/>
              </w:rPr>
              <w:t>建设性质</w:t>
            </w:r>
          </w:p>
        </w:tc>
        <w:tc>
          <w:tcPr>
            <w:tcW w:w="1830" w:type="pct"/>
            <w:gridSpan w:val="4"/>
            <w:vAlign w:val="center"/>
          </w:tcPr>
          <w:p>
            <w:pPr>
              <w:spacing w:line="360" w:lineRule="exact"/>
              <w:ind w:firstLine="0" w:firstLineChars="0"/>
              <w:jc w:val="center"/>
            </w:pPr>
            <w:r>
              <w:rPr>
                <w:rFonts w:hint="eastAsia"/>
              </w:rPr>
              <w:t>新建</w:t>
            </w:r>
          </w:p>
        </w:tc>
        <w:tc>
          <w:tcPr>
            <w:tcW w:w="845" w:type="pct"/>
            <w:gridSpan w:val="2"/>
            <w:vAlign w:val="center"/>
          </w:tcPr>
          <w:p>
            <w:pPr>
              <w:spacing w:line="360" w:lineRule="exact"/>
              <w:ind w:firstLine="0" w:firstLineChars="0"/>
              <w:jc w:val="center"/>
              <w:rPr>
                <w:b/>
                <w:bCs/>
              </w:rPr>
            </w:pPr>
            <w:r>
              <w:rPr>
                <w:rFonts w:hint="eastAsia"/>
                <w:b/>
                <w:bCs/>
              </w:rPr>
              <w:t>行业类别及代码</w:t>
            </w:r>
          </w:p>
        </w:tc>
        <w:tc>
          <w:tcPr>
            <w:tcW w:w="1632" w:type="pct"/>
            <w:gridSpan w:val="4"/>
            <w:vAlign w:val="center"/>
          </w:tcPr>
          <w:p>
            <w:pPr>
              <w:spacing w:line="360" w:lineRule="exact"/>
              <w:ind w:firstLine="0" w:firstLineChars="0"/>
              <w:jc w:val="center"/>
            </w:pPr>
            <w:r>
              <w:rPr>
                <w:rFonts w:hint="eastAsia"/>
              </w:rPr>
              <w:t>K7090其他房地产业</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3" w:type="pct"/>
            <w:vAlign w:val="center"/>
          </w:tcPr>
          <w:p>
            <w:pPr>
              <w:spacing w:line="360" w:lineRule="exact"/>
              <w:ind w:firstLine="0" w:firstLineChars="0"/>
              <w:jc w:val="center"/>
              <w:rPr>
                <w:b/>
                <w:bCs/>
              </w:rPr>
            </w:pPr>
            <w:r>
              <w:rPr>
                <w:rFonts w:hint="eastAsia"/>
                <w:b/>
                <w:bCs/>
              </w:rPr>
              <w:t>占地面积</w:t>
            </w:r>
          </w:p>
          <w:p>
            <w:pPr>
              <w:spacing w:line="360" w:lineRule="exact"/>
              <w:ind w:firstLine="0" w:firstLineChars="0"/>
              <w:jc w:val="center"/>
              <w:rPr>
                <w:b/>
                <w:bCs/>
              </w:rPr>
            </w:pPr>
            <w:r>
              <w:rPr>
                <w:rFonts w:hint="eastAsia"/>
                <w:b/>
                <w:bCs/>
              </w:rPr>
              <w:t>（m</w:t>
            </w:r>
            <w:r>
              <w:rPr>
                <w:rFonts w:hint="eastAsia"/>
                <w:b/>
                <w:bCs/>
                <w:vertAlign w:val="superscript"/>
              </w:rPr>
              <w:t>2</w:t>
            </w:r>
            <w:r>
              <w:rPr>
                <w:rFonts w:hint="eastAsia"/>
                <w:b/>
                <w:bCs/>
              </w:rPr>
              <w:t>）</w:t>
            </w:r>
          </w:p>
        </w:tc>
        <w:tc>
          <w:tcPr>
            <w:tcW w:w="1830" w:type="pct"/>
            <w:gridSpan w:val="4"/>
            <w:vAlign w:val="center"/>
          </w:tcPr>
          <w:p>
            <w:pPr>
              <w:spacing w:line="360" w:lineRule="exact"/>
              <w:ind w:firstLine="0" w:firstLineChars="0"/>
              <w:jc w:val="center"/>
            </w:pPr>
            <w:r>
              <w:rPr>
                <w:rFonts w:hint="eastAsia"/>
              </w:rPr>
              <w:t>13847.39</w:t>
            </w:r>
          </w:p>
        </w:tc>
        <w:tc>
          <w:tcPr>
            <w:tcW w:w="845" w:type="pct"/>
            <w:gridSpan w:val="2"/>
            <w:vAlign w:val="center"/>
          </w:tcPr>
          <w:p>
            <w:pPr>
              <w:spacing w:line="360" w:lineRule="exact"/>
              <w:ind w:firstLine="0" w:firstLineChars="0"/>
              <w:jc w:val="center"/>
              <w:rPr>
                <w:b/>
                <w:bCs/>
              </w:rPr>
            </w:pPr>
            <w:r>
              <w:rPr>
                <w:rFonts w:hint="eastAsia"/>
                <w:b/>
                <w:bCs/>
              </w:rPr>
              <w:t>绿化面积（m</w:t>
            </w:r>
            <w:r>
              <w:rPr>
                <w:rFonts w:hint="eastAsia"/>
                <w:b/>
                <w:bCs/>
                <w:vertAlign w:val="superscript"/>
              </w:rPr>
              <w:t>2</w:t>
            </w:r>
            <w:r>
              <w:rPr>
                <w:rFonts w:hint="eastAsia"/>
                <w:b/>
                <w:bCs/>
              </w:rPr>
              <w:t>）</w:t>
            </w:r>
          </w:p>
        </w:tc>
        <w:tc>
          <w:tcPr>
            <w:tcW w:w="1632" w:type="pct"/>
            <w:gridSpan w:val="4"/>
            <w:vAlign w:val="center"/>
          </w:tcPr>
          <w:p>
            <w:pPr>
              <w:spacing w:line="360" w:lineRule="exact"/>
              <w:ind w:firstLine="0" w:firstLineChars="0"/>
              <w:jc w:val="center"/>
            </w:pPr>
            <w:r>
              <w:rPr>
                <w:rFonts w:hint="eastAsia"/>
              </w:rPr>
              <w:t>4327.31m</w:t>
            </w:r>
            <w:r>
              <w:rPr>
                <w:rFonts w:hint="eastAsia"/>
                <w:vertAlign w:val="superscript"/>
              </w:rPr>
              <w:t>2</w:t>
            </w:r>
            <w:r>
              <w:rPr>
                <w:rFonts w:hint="eastAsia"/>
              </w:rPr>
              <w:t>（绿化率31.25%）</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93" w:type="pct"/>
            <w:vAlign w:val="center"/>
          </w:tcPr>
          <w:p>
            <w:pPr>
              <w:spacing w:line="360" w:lineRule="exact"/>
              <w:ind w:firstLine="0" w:firstLineChars="0"/>
              <w:jc w:val="center"/>
              <w:rPr>
                <w:b/>
                <w:bCs/>
              </w:rPr>
            </w:pPr>
            <w:r>
              <w:rPr>
                <w:rFonts w:hint="eastAsia"/>
                <w:b/>
                <w:bCs/>
              </w:rPr>
              <w:t>总投资</w:t>
            </w:r>
          </w:p>
          <w:p>
            <w:pPr>
              <w:spacing w:line="360" w:lineRule="exact"/>
              <w:ind w:firstLine="0" w:firstLineChars="0"/>
              <w:jc w:val="center"/>
              <w:rPr>
                <w:b/>
                <w:bCs/>
              </w:rPr>
            </w:pPr>
            <w:r>
              <w:rPr>
                <w:rFonts w:hint="eastAsia"/>
                <w:b/>
                <w:bCs/>
              </w:rPr>
              <w:t>（万元）</w:t>
            </w:r>
          </w:p>
        </w:tc>
        <w:tc>
          <w:tcPr>
            <w:tcW w:w="1216" w:type="pct"/>
            <w:gridSpan w:val="2"/>
            <w:vAlign w:val="center"/>
          </w:tcPr>
          <w:p>
            <w:pPr>
              <w:spacing w:line="360" w:lineRule="exact"/>
              <w:ind w:firstLine="0" w:firstLineChars="0"/>
              <w:jc w:val="center"/>
            </w:pPr>
            <w:r>
              <w:rPr>
                <w:rFonts w:hint="eastAsia"/>
              </w:rPr>
              <w:t>966.7</w:t>
            </w:r>
          </w:p>
        </w:tc>
        <w:tc>
          <w:tcPr>
            <w:tcW w:w="940" w:type="pct"/>
            <w:gridSpan w:val="3"/>
            <w:vAlign w:val="center"/>
          </w:tcPr>
          <w:p>
            <w:pPr>
              <w:spacing w:line="360" w:lineRule="exact"/>
              <w:ind w:firstLine="0" w:firstLineChars="0"/>
              <w:jc w:val="center"/>
              <w:rPr>
                <w:b/>
                <w:bCs/>
              </w:rPr>
            </w:pPr>
            <w:r>
              <w:rPr>
                <w:rFonts w:hint="eastAsia"/>
                <w:b/>
                <w:bCs/>
              </w:rPr>
              <w:t>其中：环保投资（万元）</w:t>
            </w:r>
          </w:p>
        </w:tc>
        <w:tc>
          <w:tcPr>
            <w:tcW w:w="519" w:type="pct"/>
            <w:vAlign w:val="center"/>
          </w:tcPr>
          <w:p>
            <w:pPr>
              <w:spacing w:line="360" w:lineRule="exact"/>
              <w:ind w:firstLine="0" w:firstLineChars="0"/>
              <w:jc w:val="center"/>
            </w:pPr>
            <w:r>
              <w:rPr>
                <w:rFonts w:hint="eastAsia"/>
              </w:rPr>
              <w:t>56</w:t>
            </w:r>
          </w:p>
        </w:tc>
        <w:tc>
          <w:tcPr>
            <w:tcW w:w="957" w:type="pct"/>
            <w:gridSpan w:val="3"/>
            <w:vAlign w:val="center"/>
          </w:tcPr>
          <w:p>
            <w:pPr>
              <w:spacing w:line="360" w:lineRule="exact"/>
              <w:ind w:firstLine="0" w:firstLineChars="0"/>
              <w:jc w:val="center"/>
              <w:rPr>
                <w:b/>
                <w:bCs/>
              </w:rPr>
            </w:pPr>
            <w:r>
              <w:rPr>
                <w:rFonts w:hint="eastAsia"/>
                <w:b/>
                <w:bCs/>
              </w:rPr>
              <w:t>环保投资占总投资比例</w:t>
            </w:r>
          </w:p>
        </w:tc>
        <w:tc>
          <w:tcPr>
            <w:tcW w:w="675" w:type="pct"/>
            <w:vAlign w:val="center"/>
          </w:tcPr>
          <w:p>
            <w:pPr>
              <w:spacing w:line="360" w:lineRule="exact"/>
              <w:ind w:firstLine="0" w:firstLineChars="0"/>
              <w:jc w:val="center"/>
              <w:rPr>
                <w:highlight w:val="yellow"/>
              </w:rPr>
            </w:pPr>
            <w:r>
              <w:rPr>
                <w:rFonts w:hint="eastAsia"/>
              </w:rPr>
              <w:t>5.79%</w:t>
            </w:r>
          </w:p>
        </w:tc>
      </w:tr>
      <w:tr>
        <w:tblPrEx>
          <w:tblBorders>
            <w:top w:val="none" w:color="auto" w:sz="0"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93" w:type="pct"/>
            <w:vAlign w:val="center"/>
          </w:tcPr>
          <w:p>
            <w:pPr>
              <w:spacing w:line="360" w:lineRule="exact"/>
              <w:ind w:firstLine="0" w:firstLineChars="0"/>
              <w:jc w:val="center"/>
              <w:rPr>
                <w:b/>
                <w:bCs/>
              </w:rPr>
            </w:pPr>
            <w:r>
              <w:rPr>
                <w:rFonts w:hint="eastAsia"/>
                <w:b/>
                <w:bCs/>
              </w:rPr>
              <w:t>评价经费</w:t>
            </w:r>
          </w:p>
          <w:p>
            <w:pPr>
              <w:spacing w:line="360" w:lineRule="exact"/>
              <w:ind w:firstLine="0" w:firstLineChars="0"/>
              <w:jc w:val="center"/>
              <w:rPr>
                <w:b/>
                <w:bCs/>
              </w:rPr>
            </w:pPr>
            <w:r>
              <w:rPr>
                <w:rFonts w:hint="eastAsia"/>
                <w:b/>
                <w:bCs/>
              </w:rPr>
              <w:t>（万元）</w:t>
            </w:r>
          </w:p>
        </w:tc>
        <w:tc>
          <w:tcPr>
            <w:tcW w:w="1830" w:type="pct"/>
            <w:gridSpan w:val="4"/>
            <w:vAlign w:val="center"/>
          </w:tcPr>
          <w:p>
            <w:pPr>
              <w:spacing w:line="360" w:lineRule="exact"/>
              <w:ind w:firstLine="480"/>
              <w:jc w:val="center"/>
            </w:pPr>
          </w:p>
        </w:tc>
        <w:tc>
          <w:tcPr>
            <w:tcW w:w="1163" w:type="pct"/>
            <w:gridSpan w:val="3"/>
            <w:vAlign w:val="center"/>
          </w:tcPr>
          <w:p>
            <w:pPr>
              <w:spacing w:line="360" w:lineRule="exact"/>
              <w:ind w:firstLine="0" w:firstLineChars="0"/>
              <w:jc w:val="center"/>
              <w:rPr>
                <w:b/>
                <w:bCs/>
              </w:rPr>
            </w:pPr>
            <w:r>
              <w:rPr>
                <w:rFonts w:hint="eastAsia"/>
                <w:b/>
                <w:bCs/>
              </w:rPr>
              <w:t>预期投产日期</w:t>
            </w:r>
          </w:p>
        </w:tc>
        <w:tc>
          <w:tcPr>
            <w:tcW w:w="1314" w:type="pct"/>
            <w:gridSpan w:val="3"/>
            <w:vAlign w:val="center"/>
          </w:tcPr>
          <w:p>
            <w:pPr>
              <w:spacing w:line="360" w:lineRule="exact"/>
              <w:ind w:firstLine="0" w:firstLineChars="0"/>
              <w:jc w:val="center"/>
            </w:pPr>
            <w:r>
              <w:rPr>
                <w:rFonts w:hint="eastAsia"/>
              </w:rPr>
              <w:t>2018年5月</w:t>
            </w:r>
          </w:p>
        </w:tc>
      </w:tr>
    </w:tbl>
    <w:p>
      <w:pPr>
        <w:pStyle w:val="2"/>
      </w:pPr>
      <w:r>
        <w:rPr>
          <w:rFonts w:hint="eastAsia"/>
        </w:rPr>
        <w:t>工程内容及规模：</w:t>
      </w:r>
    </w:p>
    <w:p>
      <w:pPr>
        <w:pStyle w:val="3"/>
        <w:ind w:firstLine="480"/>
      </w:pPr>
      <w:r>
        <w:rPr>
          <w:rFonts w:hint="eastAsia"/>
        </w:rPr>
        <w:t>1、项目背景及任务由来</w:t>
      </w:r>
    </w:p>
    <w:p>
      <w:pPr>
        <w:ind w:firstLine="480"/>
      </w:pPr>
      <w:r>
        <w:rPr>
          <w:rFonts w:hint="eastAsia"/>
        </w:rPr>
        <w:t>忻州市公安局五台山风景名胜区公安分局拟实施五台山警苑山庄（警苑工作站）建设项目，该项目已由五台山风景名胜区旅游发展局以台景旅发[2017]76号文件予以核准。</w:t>
      </w:r>
    </w:p>
    <w:p>
      <w:pPr>
        <w:ind w:firstLine="480"/>
      </w:pPr>
      <w:r>
        <w:rPr>
          <w:rFonts w:hint="eastAsia"/>
        </w:rPr>
        <w:t>五台山位于山西省东北部忻州市五台县和繁峙县之间，西南距省会太原市240km，与浙江普陀山、安徽九华山、四川峨眉山共称”中国佛教四大名山”。与尼泊尔蓝毗尼花园、印度鹿野苑、菩提伽耶、拘尸那迦并称为世界五大佛教圣地，且列中国十大避暑名山之首。1982年11月由国家首批公布为”国家重点风景名胜区”；1992年林业部批准为”国家森林公园”；2001年1月国家旅游局审定为”首批国家AAAAA级旅游景区”，2009年6月26日在西班牙塞维利亚举行的第33届世界遗产大会上被正式列入《世界遗产名录》。五台山有着悠久灿烂的历史文化，深厚的文化底蕴，四百多座寺庙建筑群星罗棋布散落群山之间，号称中国传统建筑的博物馆。</w:t>
      </w:r>
    </w:p>
    <w:p>
      <w:pPr>
        <w:ind w:firstLine="480"/>
      </w:pPr>
      <w:r>
        <w:rPr>
          <w:rFonts w:hint="eastAsia"/>
        </w:rPr>
        <w:t>该项目位于五台山台怀镇西湾村东南方向105m处，五台山风景名胜区灵峰圣境景区以北（核心景区外），台怀镇政府东北4公里。项目西北侧距清水河约90m、乡道020（大石线支线）100m，与西湾村隔河相望，西侧和南侧为牧草地，东侧和南侧有山坡分布，周围植被覆盖完整，生态环境优美，远离城镇。</w:t>
      </w:r>
    </w:p>
    <w:p>
      <w:pPr>
        <w:ind w:firstLine="480"/>
      </w:pPr>
      <w:r>
        <w:rPr>
          <w:rFonts w:hint="eastAsia"/>
        </w:rPr>
        <w:t>根据《中华人民共和国环境保护法》、《中华人民共和国环境影响评价法》和《建设项目环境保护管理条例》等有关法律法规的要求，</w:t>
      </w:r>
      <w:r>
        <w:t>该项目需进行环境影响评价，编制环境影响报告表。</w:t>
      </w:r>
      <w:r>
        <w:rPr>
          <w:rFonts w:hint="eastAsia"/>
        </w:rPr>
        <w:t>忻州市公安局五台山风景名胜区公安分局于2017年11月正式委托山西天益蓝环境科技有限公司承担该项目的环境影响评价工作。接受委托后，评价单位立即组织人员赴现场进行实地踏勘，对项目所在区域的自然环境、周围现状情况、存在的敏感因素以及工程内容、拟建场地等进行了了解，收集了相关的信息资料，</w:t>
      </w:r>
      <w:r>
        <w:t>评价工作严格按照环保有关法律法规、环评技术规范及环保部门要求进行。</w:t>
      </w:r>
    </w:p>
    <w:p>
      <w:pPr>
        <w:ind w:firstLine="480"/>
      </w:pPr>
      <w:r>
        <w:rPr>
          <w:rFonts w:hint="eastAsia"/>
        </w:rPr>
        <w:t>现场踏勘了解到，项目已经基本建成，属于未批先建，违反了《中华人民共和国环境影响评价法》第25条</w:t>
      </w:r>
      <w:r>
        <w:t>的规定，</w:t>
      </w:r>
      <w:r>
        <w:rPr>
          <w:rFonts w:hint="eastAsia"/>
        </w:rPr>
        <w:t>五台山风景名胜区综合行政执法局</w:t>
      </w:r>
      <w:r>
        <w:t>以</w:t>
      </w:r>
      <w:r>
        <w:rPr>
          <w:rFonts w:hint="eastAsia"/>
        </w:rPr>
        <w:t>台综执</w:t>
      </w:r>
      <w:r>
        <w:t>字</w:t>
      </w:r>
      <w:r>
        <w:rPr>
          <w:rFonts w:hint="eastAsia"/>
        </w:rPr>
        <w:t>（</w:t>
      </w:r>
      <w:r>
        <w:t>201</w:t>
      </w:r>
      <w:r>
        <w:rPr>
          <w:rFonts w:hint="eastAsia"/>
        </w:rPr>
        <w:t>8）001</w:t>
      </w:r>
      <w:r>
        <w:t>号文</w:t>
      </w:r>
      <w:r>
        <w:rPr>
          <w:rFonts w:hint="eastAsia"/>
        </w:rPr>
        <w:t>件对五台山警苑山庄未批先建的行为出具了行政处罚，在此基础上，编制完成了《五台山警苑山庄（警苑工作站）建设项目环境影响报告表》</w:t>
      </w:r>
      <w:r>
        <w:t>。</w:t>
      </w:r>
    </w:p>
    <w:p>
      <w:pPr>
        <w:ind w:firstLine="480"/>
      </w:pPr>
      <w:r>
        <w:rPr>
          <w:rFonts w:hint="eastAsia"/>
        </w:rPr>
        <w:t>五台山风景名胜区规划国土建设</w:t>
      </w:r>
      <w:r>
        <w:t>局于201</w:t>
      </w:r>
      <w:r>
        <w:rPr>
          <w:rFonts w:hint="eastAsia"/>
        </w:rPr>
        <w:t>8</w:t>
      </w:r>
      <w:r>
        <w:t>年</w:t>
      </w:r>
      <w:r>
        <w:rPr>
          <w:rFonts w:hint="eastAsia"/>
        </w:rPr>
        <w:t>2</w:t>
      </w:r>
      <w:r>
        <w:t>月</w:t>
      </w:r>
      <w:r>
        <w:rPr>
          <w:rFonts w:hint="eastAsia"/>
        </w:rPr>
        <w:t>10</w:t>
      </w:r>
      <w:r>
        <w:t>日在</w:t>
      </w:r>
      <w:r>
        <w:rPr>
          <w:rFonts w:hint="eastAsia"/>
        </w:rPr>
        <w:t>太原市</w:t>
      </w:r>
      <w:r>
        <w:t>主持召开了《</w:t>
      </w:r>
      <w:r>
        <w:rPr>
          <w:rFonts w:hint="eastAsia"/>
        </w:rPr>
        <w:t>五台山警苑山庄（警苑工作站）建设项目环境影响报告表</w:t>
      </w:r>
      <w:r>
        <w:t>》技术审查会。根据专家组技术审查意见对报告表进行了认真、细致的修改和完善，编制完成了</w:t>
      </w:r>
      <w:r>
        <w:rPr>
          <w:rFonts w:hint="eastAsia"/>
        </w:rPr>
        <w:t>《五台山警苑山庄（警苑工作站）建设项目环境影响报告表》（报批本），</w:t>
      </w:r>
      <w:r>
        <w:t>现</w:t>
      </w:r>
      <w:r>
        <w:rPr>
          <w:rFonts w:hint="eastAsia"/>
        </w:rPr>
        <w:t>予以公示。</w:t>
      </w:r>
    </w:p>
    <w:p>
      <w:pPr>
        <w:pStyle w:val="3"/>
        <w:ind w:firstLine="480"/>
      </w:pPr>
      <w:r>
        <w:rPr>
          <w:rFonts w:hint="eastAsia"/>
        </w:rPr>
        <w:t>2、项目基本情况</w:t>
      </w:r>
    </w:p>
    <w:p>
      <w:pPr>
        <w:pStyle w:val="5"/>
        <w:ind w:firstLine="480"/>
      </w:pPr>
      <w:r>
        <w:rPr>
          <w:rFonts w:hint="eastAsia"/>
        </w:rPr>
        <w:t>2.1项目概况</w:t>
      </w:r>
    </w:p>
    <w:p>
      <w:pPr>
        <w:ind w:firstLine="480"/>
      </w:pPr>
      <w:r>
        <w:t>项目名称：</w:t>
      </w:r>
      <w:r>
        <w:rPr>
          <w:rFonts w:hint="eastAsia"/>
        </w:rPr>
        <w:t>五台山警苑山庄（警苑工作站）建设项目</w:t>
      </w:r>
    </w:p>
    <w:p>
      <w:pPr>
        <w:ind w:firstLine="480"/>
      </w:pPr>
      <w:r>
        <w:t>建设地点：</w:t>
      </w:r>
      <w:r>
        <w:rPr>
          <w:rFonts w:hint="eastAsia"/>
        </w:rPr>
        <w:t>本项目位于五台山风景名胜区台怀镇西湾村东南105m处，五台山风景名胜区灵峰圣境景区以北（核心景区外），台怀镇政府东北4公里。该项目已取得山西省住建厅《山西省风景名胜区建设工程选址意见书》（晋建城字[2017]第4号），项目西北侧距清水河约90m、乡道020（大石线支线）100m，与西湾村隔河相望，西侧和南侧为牧草地，东侧和南侧有山坡分布，周围植被覆盖完整，生态环境优美，西侧距离拟建的平章寺约95m。项目区域位置图见附图1，地理位置见附图2，四邻关系图见附图3。</w:t>
      </w:r>
      <w:r>
        <w:t xml:space="preserve"> </w:t>
      </w:r>
    </w:p>
    <w:p>
      <w:pPr>
        <w:ind w:firstLine="480"/>
      </w:pPr>
      <w:r>
        <w:t>建设单位：</w:t>
      </w:r>
      <w:r>
        <w:rPr>
          <w:rFonts w:hint="eastAsia"/>
        </w:rPr>
        <w:t>忻州市公安局五台山风景名胜区公安分局</w:t>
      </w:r>
    </w:p>
    <w:p>
      <w:pPr>
        <w:ind w:firstLine="480"/>
      </w:pPr>
      <w:r>
        <w:t>建设性质：</w:t>
      </w:r>
      <w:r>
        <w:rPr>
          <w:rFonts w:hint="eastAsia"/>
        </w:rPr>
        <w:t>新建</w:t>
      </w:r>
    </w:p>
    <w:p>
      <w:pPr>
        <w:ind w:firstLine="480"/>
      </w:pPr>
      <w:r>
        <w:rPr>
          <w:rFonts w:hint="eastAsia"/>
        </w:rPr>
        <w:t>项目占地：本项目总用地面积为1.3847公顷，项目已由五台县国土资源局以五国土资发[2017]44号文件通过项目用地预审意见。根据五台县国土资源局编制的土地利用总体规划修改方案，修改前本项目占地范围内允许建设区面积为0.9681公顷，限制建设区面积0.4166公顷，经五台县国土资源局调整，本项目占地范围内的限制建设区调整为城镇建设用地区中的允许建设区。</w:t>
      </w:r>
    </w:p>
    <w:p>
      <w:pPr>
        <w:ind w:firstLine="480"/>
      </w:pPr>
      <w:r>
        <w:rPr>
          <w:rFonts w:hint="eastAsia"/>
        </w:rPr>
        <w:t>项目总用地面积为1.3847公顷，其中建设用地0.7109公顷、农用地0.6333公顷（耕地0.3533公顷，包含基本农田面积0.2101公顷）、未利用地0.0405公顷，全部为集体土地，权属清晰。该项目涉及占用耕地0.3533公顷（其中基本农田0.2101公顷），五台县国土资源局已按规定编制土地利用总体规划修改方案和基本农田补划方案，并以五国土资发[2017]45号文件出具了该项目占用基本农田补划方案：为了支持项目建设，同时保证基本农田数量不减少，拟在五台县台怀镇杨林村进行补划同等数量0.2101公顷、质量相等的基本农田；其余0.1432公顷耕地由五台山风景名胜区警苑山庄在西湾村西南河滩上进行复垦，在复垦完成后，由五台山规划国土建设局、五台县国土局及光明寺西湾村小组进行验收。忻州市公安局五台山风景名胜区公安分局已按规定将补充耕地、征地补偿费用足额纳入项目工程概算。</w:t>
      </w:r>
    </w:p>
    <w:p>
      <w:pPr>
        <w:pStyle w:val="5"/>
        <w:ind w:firstLine="480"/>
      </w:pPr>
      <w:r>
        <w:rPr>
          <w:rFonts w:hint="eastAsia"/>
        </w:rPr>
        <w:t>2.2</w:t>
      </w:r>
      <w:r>
        <w:t>建设规模</w:t>
      </w:r>
    </w:p>
    <w:p>
      <w:pPr>
        <w:ind w:firstLine="480"/>
      </w:pPr>
      <w:r>
        <w:rPr>
          <w:rFonts w:hint="eastAsia"/>
        </w:rPr>
        <w:t>本项目总占地面积13847.39m</w:t>
      </w:r>
      <w:r>
        <w:rPr>
          <w:rFonts w:hint="eastAsia"/>
          <w:vertAlign w:val="superscript"/>
        </w:rPr>
        <w:t>2</w:t>
      </w:r>
      <w:r>
        <w:rPr>
          <w:rFonts w:hint="eastAsia"/>
        </w:rPr>
        <w:t>，合计20.77亩，总建筑面积4168.4m</w:t>
      </w:r>
      <w:r>
        <w:rPr>
          <w:rFonts w:hint="eastAsia"/>
          <w:vertAlign w:val="superscript"/>
        </w:rPr>
        <w:t>2</w:t>
      </w:r>
      <w:r>
        <w:rPr>
          <w:rFonts w:hint="eastAsia"/>
        </w:rPr>
        <w:t>，包括工作站、会议室、住宿楼、宿舍楼、食堂以及其他辅助用房。</w:t>
      </w:r>
    </w:p>
    <w:p>
      <w:pPr>
        <w:pStyle w:val="5"/>
        <w:ind w:firstLine="480"/>
      </w:pPr>
      <w:r>
        <w:rPr>
          <w:rFonts w:hint="eastAsia"/>
        </w:rPr>
        <w:t>2.3项目投资及资金来源</w:t>
      </w:r>
    </w:p>
    <w:p>
      <w:pPr>
        <w:ind w:firstLine="480"/>
      </w:pPr>
      <w:r>
        <w:t>项目</w:t>
      </w:r>
      <w:r>
        <w:rPr>
          <w:rFonts w:hint="eastAsia"/>
        </w:rPr>
        <w:t>总</w:t>
      </w:r>
      <w:r>
        <w:t>投资</w:t>
      </w:r>
      <w:r>
        <w:rPr>
          <w:rFonts w:hint="eastAsia"/>
        </w:rPr>
        <w:t>966.7</w:t>
      </w:r>
      <w:r>
        <w:t>万元</w:t>
      </w:r>
      <w:r>
        <w:rPr>
          <w:rFonts w:hint="eastAsia"/>
        </w:rPr>
        <w:t>，其中，工程费用838.24</w:t>
      </w:r>
      <w:r>
        <w:t>万元，</w:t>
      </w:r>
      <w:r>
        <w:rPr>
          <w:rFonts w:hint="eastAsia"/>
        </w:rPr>
        <w:t>其他费用56.86万元，预备费71.61万元。</w:t>
      </w:r>
    </w:p>
    <w:p>
      <w:pPr>
        <w:ind w:firstLine="480"/>
      </w:pPr>
      <w:r>
        <w:t>资金来源：</w:t>
      </w:r>
      <w:r>
        <w:rPr>
          <w:rFonts w:hint="eastAsia"/>
        </w:rPr>
        <w:t>由五台山风景名胜区公安分局财政</w:t>
      </w:r>
      <w:r>
        <w:t>自筹</w:t>
      </w:r>
      <w:r>
        <w:rPr>
          <w:rFonts w:hint="eastAsia"/>
        </w:rPr>
        <w:t>。</w:t>
      </w:r>
    </w:p>
    <w:p>
      <w:pPr>
        <w:pStyle w:val="3"/>
        <w:ind w:firstLine="480"/>
      </w:pPr>
      <w:r>
        <w:rPr>
          <w:rFonts w:hint="eastAsia"/>
        </w:rPr>
        <w:t>3、建设</w:t>
      </w:r>
      <w:r>
        <w:t>内容</w:t>
      </w:r>
    </w:p>
    <w:p>
      <w:pPr>
        <w:ind w:firstLine="480"/>
      </w:pPr>
      <w:r>
        <w:rPr>
          <w:rFonts w:hint="eastAsia"/>
        </w:rPr>
        <w:t>项目建设内容：工作站、会议室、住宿楼、宿舍楼、食堂、洗衣房、仓库、门卫、停车场及其他配套给水、供暖、燃气、供电工程等，总建筑面积4168.4m</w:t>
      </w:r>
      <w:r>
        <w:rPr>
          <w:rFonts w:hint="eastAsia"/>
          <w:vertAlign w:val="superscript"/>
        </w:rPr>
        <w:t>2</w:t>
      </w:r>
      <w:r>
        <w:rPr>
          <w:rFonts w:hint="eastAsia"/>
        </w:rPr>
        <w:t>，建筑密度25%，绿地率为31.25%，容积率为0.3，停车位12个。</w:t>
      </w:r>
    </w:p>
    <w:p>
      <w:pPr>
        <w:ind w:firstLine="480"/>
      </w:pPr>
      <w:r>
        <w:rPr>
          <w:rFonts w:hint="eastAsia"/>
        </w:rPr>
        <w:t>项目建设内容表详见</w:t>
      </w:r>
      <w:r>
        <w:t>表</w:t>
      </w:r>
      <w:r>
        <w:rPr>
          <w:rFonts w:hint="eastAsia"/>
        </w:rPr>
        <w:t>1</w:t>
      </w:r>
      <w:r>
        <w:t>。</w:t>
      </w:r>
    </w:p>
    <w:p>
      <w:pPr>
        <w:pStyle w:val="7"/>
        <w:rPr>
          <w:color w:val="auto"/>
        </w:rPr>
      </w:pPr>
      <w:r>
        <w:rPr>
          <w:rFonts w:hint="eastAsia"/>
          <w:color w:val="auto"/>
        </w:rPr>
        <w:t>表1  项目建设内容组成表</w:t>
      </w:r>
    </w:p>
    <w:tbl>
      <w:tblPr>
        <w:tblStyle w:val="49"/>
        <w:tblpPr w:leftFromText="180" w:rightFromText="180" w:vertAnchor="text" w:horzAnchor="margin" w:tblpY="42"/>
        <w:tblW w:w="5000" w:type="pct"/>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24"/>
        <w:gridCol w:w="902"/>
        <w:gridCol w:w="6521"/>
        <w:gridCol w:w="673"/>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75" w:type="pct"/>
            <w:gridSpan w:val="2"/>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分类</w:t>
            </w:r>
          </w:p>
        </w:tc>
        <w:tc>
          <w:tcPr>
            <w:tcW w:w="3739" w:type="pct"/>
            <w:tcBorders>
              <w:righ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建设内容</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备注</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主体工程</w:t>
            </w: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工作站</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建筑面积538.2</w:t>
            </w:r>
            <w:r>
              <w:rPr>
                <w:position w:val="0"/>
                <w:sz w:val="21"/>
                <w:szCs w:val="21"/>
              </w:rPr>
              <w:t>m</w:t>
            </w:r>
            <w:r>
              <w:rPr>
                <w:position w:val="0"/>
                <w:sz w:val="21"/>
                <w:szCs w:val="21"/>
                <w:vertAlign w:val="superscript"/>
              </w:rPr>
              <w:t>2</w:t>
            </w:r>
            <w:r>
              <w:rPr>
                <w:rFonts w:hint="eastAsia"/>
                <w:position w:val="0"/>
                <w:sz w:val="21"/>
                <w:szCs w:val="21"/>
              </w:rPr>
              <w:t>，框架砼结构，共一层，层高3.6m，设置办公室、设备间、配电室、卫生间等</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住宿楼</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建筑面积1206</w:t>
            </w:r>
            <w:r>
              <w:rPr>
                <w:position w:val="0"/>
                <w:sz w:val="21"/>
                <w:szCs w:val="21"/>
              </w:rPr>
              <w:t>m</w:t>
            </w:r>
            <w:r>
              <w:rPr>
                <w:position w:val="0"/>
                <w:sz w:val="21"/>
                <w:szCs w:val="21"/>
                <w:vertAlign w:val="superscript"/>
              </w:rPr>
              <w:t>2</w:t>
            </w:r>
            <w:r>
              <w:rPr>
                <w:rFonts w:hint="eastAsia"/>
                <w:position w:val="0"/>
                <w:sz w:val="21"/>
                <w:szCs w:val="21"/>
              </w:rPr>
              <w:t>，框架砼结构，共二层，层高3.6m，一层设置客房、休息室、大厅、设备间、配电室、监控室等，二层全部为客房，共设置36套标准客房。</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宿舍楼</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建筑面积489.6</w:t>
            </w:r>
            <w:r>
              <w:rPr>
                <w:position w:val="0"/>
                <w:sz w:val="21"/>
                <w:szCs w:val="21"/>
              </w:rPr>
              <w:t>m</w:t>
            </w:r>
            <w:r>
              <w:rPr>
                <w:position w:val="0"/>
                <w:sz w:val="21"/>
                <w:szCs w:val="21"/>
                <w:vertAlign w:val="superscript"/>
              </w:rPr>
              <w:t>2</w:t>
            </w:r>
            <w:r>
              <w:rPr>
                <w:rFonts w:hint="eastAsia"/>
                <w:position w:val="0"/>
                <w:sz w:val="21"/>
                <w:szCs w:val="21"/>
              </w:rPr>
              <w:t>，框架砼结构，共一层，层高3.6m，设置宿舍、卫生间等</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会议室</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建筑面积288</w:t>
            </w:r>
            <w:r>
              <w:rPr>
                <w:position w:val="0"/>
                <w:sz w:val="21"/>
                <w:szCs w:val="21"/>
              </w:rPr>
              <w:t>m</w:t>
            </w:r>
            <w:r>
              <w:rPr>
                <w:position w:val="0"/>
                <w:sz w:val="21"/>
                <w:szCs w:val="21"/>
                <w:vertAlign w:val="superscript"/>
              </w:rPr>
              <w:t>2</w:t>
            </w:r>
            <w:r>
              <w:rPr>
                <w:rFonts w:hint="eastAsia"/>
                <w:position w:val="0"/>
                <w:sz w:val="21"/>
                <w:szCs w:val="21"/>
              </w:rPr>
              <w:t>，框架砼结构，一层，层高5.4m，设置会议室、设备间、后台等</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辅助工程</w:t>
            </w: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食堂</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建筑面积513</w:t>
            </w:r>
            <w:r>
              <w:rPr>
                <w:position w:val="0"/>
                <w:sz w:val="21"/>
                <w:szCs w:val="21"/>
              </w:rPr>
              <w:t>m</w:t>
            </w:r>
            <w:r>
              <w:rPr>
                <w:position w:val="0"/>
                <w:sz w:val="21"/>
                <w:szCs w:val="21"/>
                <w:vertAlign w:val="superscript"/>
              </w:rPr>
              <w:t>2</w:t>
            </w:r>
            <w:r>
              <w:rPr>
                <w:rFonts w:hint="eastAsia"/>
                <w:position w:val="0"/>
                <w:sz w:val="21"/>
                <w:szCs w:val="21"/>
              </w:rPr>
              <w:t>，框架砼结构，一层，层高3.6m，设施配置包括厨房、包间、餐厅、卫生间、消毒间等，厨房灶台设置2个基准灶头</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洗衣房</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建筑面积410.9</w:t>
            </w:r>
            <w:r>
              <w:rPr>
                <w:position w:val="0"/>
                <w:sz w:val="21"/>
                <w:szCs w:val="21"/>
              </w:rPr>
              <w:t>m</w:t>
            </w:r>
            <w:r>
              <w:rPr>
                <w:position w:val="0"/>
                <w:sz w:val="21"/>
                <w:szCs w:val="21"/>
                <w:vertAlign w:val="superscript"/>
              </w:rPr>
              <w:t>2</w:t>
            </w:r>
            <w:r>
              <w:rPr>
                <w:rFonts w:hint="eastAsia"/>
                <w:position w:val="0"/>
                <w:sz w:val="21"/>
                <w:szCs w:val="21"/>
              </w:rPr>
              <w:t>，一层，框架砼结构，设施配置为洗衣机、甩干机、电烘干等设备</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仓库</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建筑面积169.7</w:t>
            </w:r>
            <w:r>
              <w:rPr>
                <w:position w:val="0"/>
                <w:sz w:val="21"/>
                <w:szCs w:val="21"/>
              </w:rPr>
              <w:t>m</w:t>
            </w:r>
            <w:r>
              <w:rPr>
                <w:position w:val="0"/>
                <w:sz w:val="21"/>
                <w:szCs w:val="21"/>
                <w:vertAlign w:val="superscript"/>
              </w:rPr>
              <w:t>2</w:t>
            </w:r>
            <w:r>
              <w:rPr>
                <w:rFonts w:hint="eastAsia"/>
                <w:position w:val="0"/>
                <w:sz w:val="21"/>
                <w:szCs w:val="21"/>
              </w:rPr>
              <w:t>，一层，框架砼结构</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门房</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建筑面积40</w:t>
            </w:r>
            <w:r>
              <w:rPr>
                <w:position w:val="0"/>
                <w:sz w:val="21"/>
                <w:szCs w:val="21"/>
              </w:rPr>
              <w:t>m</w:t>
            </w:r>
            <w:r>
              <w:rPr>
                <w:position w:val="0"/>
                <w:sz w:val="21"/>
                <w:szCs w:val="21"/>
                <w:vertAlign w:val="superscript"/>
              </w:rPr>
              <w:t>2</w:t>
            </w:r>
            <w:r>
              <w:rPr>
                <w:rFonts w:hint="eastAsia"/>
                <w:position w:val="0"/>
                <w:sz w:val="21"/>
                <w:szCs w:val="21"/>
              </w:rPr>
              <w:t>，一层，框架砼结构</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restar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公用工程</w:t>
            </w: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供暖</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使用电采暖，对各采暖单元单独设置采暖系统</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shd w:val="clear" w:color="auto" w:fill="auto"/>
            <w:noWrap/>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供热</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职工宿舍楼宿舍内卫生间和住宿楼客房内卫生间设置淋浴，热水为电热水器</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shd w:val="clear" w:color="auto" w:fill="auto"/>
            <w:noWrap/>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供气</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食堂燃用管道天然气，由石咀分输站通过中压燃气管道接入项目区东南角的调压器，转换为低压后接入食堂低压燃气管道</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供电</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项目配备</w:t>
            </w:r>
            <w:r>
              <w:rPr>
                <w:position w:val="0"/>
                <w:sz w:val="21"/>
                <w:szCs w:val="21"/>
              </w:rPr>
              <w:t>220/380V</w:t>
            </w:r>
            <w:r>
              <w:rPr>
                <w:rFonts w:hint="eastAsia"/>
                <w:position w:val="0"/>
                <w:sz w:val="21"/>
                <w:szCs w:val="21"/>
              </w:rPr>
              <w:t>配电室一座，采用两路独立的</w:t>
            </w:r>
            <w:r>
              <w:rPr>
                <w:position w:val="0"/>
                <w:sz w:val="21"/>
                <w:szCs w:val="21"/>
              </w:rPr>
              <w:t>10kV</w:t>
            </w:r>
            <w:r>
              <w:rPr>
                <w:rFonts w:hint="eastAsia"/>
                <w:position w:val="0"/>
                <w:sz w:val="21"/>
                <w:szCs w:val="21"/>
              </w:rPr>
              <w:t>电源</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供水</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引自西湾村水井，项目区设高位水池，依靠重力自流供给用水</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358" w:type="pct"/>
            <w:vMerge w:val="restar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环保工程</w:t>
            </w: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废气</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sz w:val="21"/>
                <w:szCs w:val="21"/>
              </w:rPr>
              <w:t>在食堂灶台上方设置集气罩，油烟集气罩投影面积应大于灶台面，设一套高效复合油烟净化器，处理风量约为4000m</w:t>
            </w:r>
            <w:r>
              <w:rPr>
                <w:rFonts w:hint="eastAsia"/>
                <w:sz w:val="21"/>
                <w:szCs w:val="21"/>
                <w:vertAlign w:val="superscript"/>
              </w:rPr>
              <w:t>3</w:t>
            </w:r>
            <w:r>
              <w:rPr>
                <w:rFonts w:hint="eastAsia"/>
                <w:sz w:val="21"/>
                <w:szCs w:val="21"/>
              </w:rPr>
              <w:t>/h，处理效率达到80%。</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未建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废水</w:t>
            </w:r>
          </w:p>
        </w:tc>
        <w:tc>
          <w:tcPr>
            <w:tcW w:w="3739" w:type="pct"/>
            <w:tcBorders>
              <w:righ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食堂废水经隔油池（1m</w:t>
            </w:r>
            <w:r>
              <w:rPr>
                <w:rFonts w:hint="eastAsia"/>
                <w:position w:val="0"/>
                <w:sz w:val="21"/>
                <w:szCs w:val="21"/>
                <w:vertAlign w:val="superscript"/>
              </w:rPr>
              <w:t>3</w:t>
            </w:r>
            <w:r>
              <w:rPr>
                <w:rFonts w:hint="eastAsia"/>
                <w:position w:val="0"/>
                <w:sz w:val="21"/>
                <w:szCs w:val="21"/>
              </w:rPr>
              <w:t>）隔油后与生活污水一起排入化粪池（200m</w:t>
            </w:r>
            <w:r>
              <w:rPr>
                <w:rFonts w:hint="eastAsia"/>
                <w:position w:val="0"/>
                <w:sz w:val="21"/>
                <w:szCs w:val="21"/>
                <w:vertAlign w:val="superscript"/>
              </w:rPr>
              <w:t>3</w:t>
            </w:r>
            <w:r>
              <w:rPr>
                <w:rFonts w:hint="eastAsia"/>
                <w:position w:val="0"/>
                <w:sz w:val="21"/>
                <w:szCs w:val="21"/>
              </w:rPr>
              <w:t>）预处理，然后由污水罐车定期送至五台山杨柏峪污水处理厂。</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sz w:val="21"/>
                <w:szCs w:val="21"/>
              </w:rPr>
            </w:pPr>
            <w:r>
              <w:rPr>
                <w:rFonts w:hint="eastAsia"/>
                <w:sz w:val="21"/>
                <w:szCs w:val="21"/>
              </w:rPr>
              <w:t>固废</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sz w:val="21"/>
                <w:szCs w:val="21"/>
              </w:rPr>
            </w:pPr>
            <w:r>
              <w:rPr>
                <w:rFonts w:hint="eastAsia"/>
                <w:sz w:val="21"/>
                <w:szCs w:val="21"/>
              </w:rPr>
              <w:t>食堂设1个密闭专用塑料桶用于收集餐厨垃圾；生活</w:t>
            </w:r>
            <w:r>
              <w:rPr>
                <w:sz w:val="21"/>
                <w:szCs w:val="21"/>
              </w:rPr>
              <w:t>垃圾</w:t>
            </w:r>
            <w:r>
              <w:rPr>
                <w:rFonts w:hint="eastAsia"/>
                <w:sz w:val="21"/>
                <w:szCs w:val="21"/>
              </w:rPr>
              <w:t>定点收集后，交由景区环卫部门统一清运处置。</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sz w:val="21"/>
                <w:szCs w:val="21"/>
              </w:rPr>
            </w:pPr>
            <w:r>
              <w:rPr>
                <w:rFonts w:hint="eastAsia"/>
                <w:sz w:val="21"/>
                <w:szCs w:val="21"/>
              </w:rPr>
              <w:t>噪声</w:t>
            </w:r>
          </w:p>
        </w:tc>
        <w:tc>
          <w:tcPr>
            <w:tcW w:w="3739" w:type="pct"/>
            <w:tcBorders>
              <w:right w:val="single" w:color="auto" w:sz="4" w:space="0"/>
            </w:tcBorders>
            <w:shd w:val="clear" w:color="auto" w:fill="auto"/>
            <w:vAlign w:val="center"/>
          </w:tcPr>
          <w:p>
            <w:pPr>
              <w:keepNext/>
              <w:keepLines/>
              <w:snapToGrid w:val="0"/>
              <w:spacing w:line="240" w:lineRule="auto"/>
              <w:ind w:firstLine="0" w:firstLineChars="0"/>
              <w:jc w:val="center"/>
              <w:rPr>
                <w:sz w:val="21"/>
                <w:szCs w:val="21"/>
              </w:rPr>
            </w:pPr>
            <w:r>
              <w:rPr>
                <w:rFonts w:hint="eastAsia"/>
                <w:sz w:val="21"/>
                <w:szCs w:val="21"/>
              </w:rPr>
              <w:t>对于食堂油烟风机、洗衣设备、泵类等设备选择低噪声设备，安装减震垫、消声器，对设备间门窗进行密封降噪处理；工作站及会议室均采用了隔声窗，并进行绿化，种植多层次的树木从而形成隔声屏障来降低外界噪声影响。</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sz w:val="21"/>
                <w:szCs w:val="21"/>
              </w:rPr>
            </w:pPr>
            <w:r>
              <w:rPr>
                <w:rFonts w:hint="eastAsia"/>
                <w:position w:val="0"/>
                <w:sz w:val="21"/>
                <w:szCs w:val="21"/>
              </w:rPr>
              <w:t>已建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58" w:type="pct"/>
            <w:vMerge w:val="continue"/>
            <w:vAlign w:val="center"/>
          </w:tcPr>
          <w:p>
            <w:pPr>
              <w:keepNext/>
              <w:keepLines/>
              <w:snapToGrid w:val="0"/>
              <w:spacing w:line="240" w:lineRule="auto"/>
              <w:ind w:firstLine="0" w:firstLineChars="0"/>
              <w:jc w:val="center"/>
              <w:rPr>
                <w:position w:val="0"/>
                <w:sz w:val="21"/>
                <w:szCs w:val="21"/>
              </w:rPr>
            </w:pPr>
          </w:p>
        </w:tc>
        <w:tc>
          <w:tcPr>
            <w:tcW w:w="517" w:type="pct"/>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生态</w:t>
            </w:r>
          </w:p>
        </w:tc>
        <w:tc>
          <w:tcPr>
            <w:tcW w:w="3739" w:type="pct"/>
            <w:tcBorders>
              <w:right w:val="single" w:color="auto" w:sz="4" w:space="0"/>
            </w:tcBorders>
            <w:shd w:val="clear" w:color="auto" w:fill="auto"/>
            <w:noWrap/>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绿化面积4327.3</w:t>
            </w:r>
            <w:r>
              <w:rPr>
                <w:position w:val="0"/>
                <w:sz w:val="21"/>
                <w:szCs w:val="21"/>
              </w:rPr>
              <w:t>m</w:t>
            </w:r>
            <w:r>
              <w:rPr>
                <w:position w:val="0"/>
                <w:sz w:val="21"/>
                <w:szCs w:val="21"/>
                <w:vertAlign w:val="superscript"/>
              </w:rPr>
              <w:t>2</w:t>
            </w:r>
            <w:r>
              <w:rPr>
                <w:rFonts w:hint="eastAsia"/>
                <w:position w:val="0"/>
                <w:sz w:val="21"/>
                <w:szCs w:val="21"/>
              </w:rPr>
              <w:t>，绿化率31.25</w:t>
            </w:r>
            <w:r>
              <w:rPr>
                <w:position w:val="0"/>
                <w:sz w:val="21"/>
                <w:szCs w:val="21"/>
              </w:rPr>
              <w:t>%</w:t>
            </w:r>
          </w:p>
        </w:tc>
        <w:tc>
          <w:tcPr>
            <w:tcW w:w="386" w:type="pct"/>
            <w:tcBorders>
              <w:left w:val="single" w:color="auto" w:sz="4" w:space="0"/>
            </w:tcBorders>
            <w:shd w:val="clear" w:color="auto" w:fill="auto"/>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已建</w:t>
            </w:r>
          </w:p>
        </w:tc>
      </w:tr>
    </w:tbl>
    <w:p>
      <w:pPr>
        <w:pStyle w:val="3"/>
        <w:ind w:firstLine="480"/>
      </w:pPr>
      <w:r>
        <w:rPr>
          <w:rFonts w:hint="eastAsia"/>
        </w:rPr>
        <w:t>4、能源消耗</w:t>
      </w:r>
    </w:p>
    <w:p>
      <w:pPr>
        <w:spacing w:beforeLines="25" w:line="520" w:lineRule="exact"/>
        <w:ind w:firstLine="480"/>
      </w:pPr>
      <w:r>
        <w:rPr>
          <w:rFonts w:hint="eastAsia"/>
        </w:rPr>
        <w:t>本项目能源消耗主要为食堂燃用天然气，以及用水、用电等，项目能源消耗情况见下表2。</w:t>
      </w:r>
    </w:p>
    <w:p>
      <w:pPr>
        <w:pStyle w:val="7"/>
        <w:spacing w:line="440" w:lineRule="exact"/>
        <w:rPr>
          <w:color w:val="auto"/>
        </w:rPr>
      </w:pPr>
      <w:r>
        <w:rPr>
          <w:rFonts w:hint="eastAsia"/>
          <w:color w:val="auto"/>
        </w:rPr>
        <w:t>表2</w:t>
      </w:r>
      <w:r>
        <w:rPr>
          <w:rFonts w:hint="eastAsia"/>
          <w:color w:val="auto"/>
          <w:szCs w:val="21"/>
        </w:rPr>
        <w:t xml:space="preserve">    项目能源消耗情况一览表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序号</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材料</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用量</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1</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天然气</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1500m</w:t>
            </w:r>
            <w:r>
              <w:rPr>
                <w:rFonts w:hint="eastAsia"/>
                <w:position w:val="0"/>
                <w:sz w:val="21"/>
                <w:szCs w:val="21"/>
                <w:vertAlign w:val="superscript"/>
              </w:rPr>
              <w:t>3</w:t>
            </w:r>
            <w:r>
              <w:rPr>
                <w:rFonts w:hint="eastAsia"/>
                <w:position w:val="0"/>
                <w:sz w:val="21"/>
                <w:szCs w:val="21"/>
              </w:rPr>
              <w:t>/a</w:t>
            </w:r>
          </w:p>
        </w:tc>
        <w:tc>
          <w:tcPr>
            <w:tcW w:w="2180" w:type="dxa"/>
          </w:tcPr>
          <w:p>
            <w:pPr>
              <w:keepNext/>
              <w:keepLines/>
              <w:spacing w:line="240" w:lineRule="auto"/>
              <w:ind w:firstLine="0" w:firstLineChars="0"/>
              <w:jc w:val="center"/>
              <w:rPr>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2</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水</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5623.6t/a</w:t>
            </w:r>
          </w:p>
        </w:tc>
        <w:tc>
          <w:tcPr>
            <w:tcW w:w="2180" w:type="dxa"/>
          </w:tcPr>
          <w:p>
            <w:pPr>
              <w:keepNext/>
              <w:keepLines/>
              <w:spacing w:line="240" w:lineRule="auto"/>
              <w:ind w:firstLine="0" w:firstLineChars="0"/>
              <w:jc w:val="center"/>
              <w:rPr>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电</w:t>
            </w:r>
          </w:p>
        </w:tc>
        <w:tc>
          <w:tcPr>
            <w:tcW w:w="2180" w:type="dxa"/>
          </w:tcPr>
          <w:p>
            <w:pPr>
              <w:keepNext/>
              <w:keepLines/>
              <w:spacing w:line="240" w:lineRule="auto"/>
              <w:ind w:firstLine="0" w:firstLineChars="0"/>
              <w:jc w:val="center"/>
              <w:rPr>
                <w:position w:val="0"/>
                <w:sz w:val="21"/>
                <w:szCs w:val="21"/>
              </w:rPr>
            </w:pPr>
            <w:r>
              <w:rPr>
                <w:rFonts w:hint="eastAsia"/>
                <w:position w:val="0"/>
                <w:sz w:val="21"/>
                <w:szCs w:val="21"/>
              </w:rPr>
              <w:t>38.9万kw·h</w:t>
            </w:r>
          </w:p>
        </w:tc>
        <w:tc>
          <w:tcPr>
            <w:tcW w:w="2180" w:type="dxa"/>
          </w:tcPr>
          <w:p>
            <w:pPr>
              <w:keepNext/>
              <w:keepLines/>
              <w:spacing w:line="240" w:lineRule="auto"/>
              <w:ind w:firstLine="0" w:firstLineChars="0"/>
              <w:jc w:val="center"/>
              <w:rPr>
                <w:position w:val="0"/>
                <w:sz w:val="21"/>
                <w:szCs w:val="21"/>
              </w:rPr>
            </w:pPr>
          </w:p>
        </w:tc>
      </w:tr>
    </w:tbl>
    <w:p>
      <w:pPr>
        <w:pStyle w:val="3"/>
        <w:ind w:firstLine="480"/>
      </w:pPr>
      <w:r>
        <w:rPr>
          <w:rFonts w:hint="eastAsia"/>
        </w:rPr>
        <w:t>5、总平面布置</w:t>
      </w:r>
    </w:p>
    <w:p>
      <w:pPr>
        <w:spacing w:line="520" w:lineRule="exact"/>
        <w:ind w:firstLine="480"/>
      </w:pPr>
      <w:r>
        <w:rPr>
          <w:rFonts w:hint="eastAsia"/>
        </w:rPr>
        <w:t>总平面布置原则是在满足正常运营要求的基础上，根据道路、消防、安全、卫生、绿化等要求，结合地形、地质、气象等自然条件，力求紧凑合理，节约用地，节省投资，有利生产，方便管理。本项目总占地面积13847.39m</w:t>
      </w:r>
      <w:r>
        <w:rPr>
          <w:rFonts w:hint="eastAsia"/>
          <w:vertAlign w:val="superscript"/>
        </w:rPr>
        <w:t>2</w:t>
      </w:r>
      <w:r>
        <w:rPr>
          <w:rFonts w:hint="eastAsia"/>
        </w:rPr>
        <w:t>，平均海拔高程为1849.49m，地形东高西低、南高北低，项目总平面布置由东到西依次为宿舍楼、工作站、食堂、会议室、住宿楼、洗衣房等，其他用房包括仓库、门卫、配电室等。项目区设两个出入口，形成环绕路线，所有建筑物均与道路相连。项目区内</w:t>
      </w:r>
      <w:r>
        <w:t>全面</w:t>
      </w:r>
      <w:r>
        <w:rPr>
          <w:rFonts w:hint="eastAsia"/>
        </w:rPr>
        <w:t>合理</w:t>
      </w:r>
      <w:r>
        <w:t>绿化，按照不同的功能分区对场地、道路进行绿化设计</w:t>
      </w:r>
      <w:r>
        <w:rPr>
          <w:rFonts w:hint="eastAsia"/>
        </w:rPr>
        <w:t>，</w:t>
      </w:r>
      <w:r>
        <w:t>种树</w:t>
      </w:r>
      <w:r>
        <w:rPr>
          <w:rFonts w:hint="eastAsia"/>
        </w:rPr>
        <w:t>并</w:t>
      </w:r>
      <w:r>
        <w:t>栽植各种花草，以乔木为主，乔、灌、草、花相结合的多层次绿化，绿化面积</w:t>
      </w:r>
      <w:r>
        <w:rPr>
          <w:rFonts w:hint="eastAsia"/>
        </w:rPr>
        <w:t>4327.3</w:t>
      </w:r>
      <w:r>
        <w:t>m</w:t>
      </w:r>
      <w:r>
        <w:rPr>
          <w:vertAlign w:val="superscript"/>
        </w:rPr>
        <w:t>2</w:t>
      </w:r>
      <w:r>
        <w:rPr>
          <w:rFonts w:hint="eastAsia"/>
        </w:rPr>
        <w:t>，绿化率达到31.25%</w:t>
      </w:r>
      <w:r>
        <w:t>。</w:t>
      </w:r>
      <w:r>
        <w:rPr>
          <w:rFonts w:hint="eastAsia"/>
        </w:rPr>
        <w:t>本项目总平面布置图见附图6。</w:t>
      </w:r>
    </w:p>
    <w:p>
      <w:pPr>
        <w:pStyle w:val="3"/>
        <w:ind w:firstLine="480"/>
      </w:pPr>
      <w:r>
        <w:rPr>
          <w:rFonts w:hint="eastAsia"/>
        </w:rPr>
        <w:t>6、工作制度及劳动定员</w:t>
      </w:r>
    </w:p>
    <w:p>
      <w:pPr>
        <w:spacing w:line="520" w:lineRule="exact"/>
        <w:ind w:firstLine="480"/>
      </w:pPr>
      <w:r>
        <w:rPr>
          <w:rFonts w:hint="eastAsia"/>
        </w:rPr>
        <w:t>本项目职工定员20人，全年工作365天，实行一班8小时工作制。</w:t>
      </w:r>
    </w:p>
    <w:p>
      <w:pPr>
        <w:pStyle w:val="3"/>
        <w:ind w:firstLine="480"/>
      </w:pPr>
      <w:r>
        <w:rPr>
          <w:rFonts w:hint="eastAsia"/>
        </w:rPr>
        <w:t>7、公用、辅助工程</w:t>
      </w:r>
    </w:p>
    <w:p>
      <w:pPr>
        <w:ind w:firstLine="480"/>
      </w:pPr>
      <w:r>
        <w:rPr>
          <w:rFonts w:hint="eastAsia"/>
        </w:rPr>
        <w:t>本项目公用工程包括给排水、供电、供热等。</w:t>
      </w:r>
    </w:p>
    <w:tbl>
      <w:tblPr>
        <w:tblStyle w:val="49"/>
        <w:tblpPr w:leftFromText="180" w:rightFromText="180" w:vertAnchor="text" w:horzAnchor="page" w:tblpX="16575" w:tblpY="3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961"/>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编号</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项目</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总占地面积（m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13847.39.00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8183.18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其中，</w:t>
            </w:r>
            <w:r>
              <w:rPr>
                <w:rFonts w:hint="eastAsia"/>
                <w:position w:val="0"/>
                <w:sz w:val="21"/>
                <w:szCs w:val="21"/>
              </w:rPr>
              <w:t>寺庙</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6108.48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2074.70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w:t>
            </w:r>
            <w:r>
              <w:rPr>
                <w:rFonts w:hint="eastAsia"/>
                <w:position w:val="0"/>
                <w:sz w:val="21"/>
                <w:szCs w:val="21"/>
              </w:rPr>
              <w:t>占比</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4</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建筑基底面积（m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5322.51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5</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容积率</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0.4</w:t>
            </w:r>
            <w:r>
              <w:rPr>
                <w:rFonts w:hint="eastAsia"/>
                <w:positio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6</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绿地面积</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5918.22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7</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绿地率（%）</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8</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建筑密度（%）</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9</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建筑层数（层）</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10</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停车位数（个）</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11</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僧侣人数（人）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居士人数（人）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编号</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项目</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总占地面积（m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13847.39.00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总建筑面积（m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8183.18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2.1</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其中，</w:t>
            </w:r>
            <w:r>
              <w:rPr>
                <w:rFonts w:hint="eastAsia"/>
                <w:position w:val="0"/>
                <w:sz w:val="21"/>
                <w:szCs w:val="21"/>
              </w:rPr>
              <w:t>寺庙</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6108.48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2.2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2074.70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居住及配套</w:t>
            </w:r>
            <w:r>
              <w:rPr>
                <w:position w:val="0"/>
                <w:sz w:val="21"/>
                <w:szCs w:val="21"/>
              </w:rPr>
              <w:t>建筑</w:t>
            </w:r>
            <w:r>
              <w:rPr>
                <w:rFonts w:hint="eastAsia"/>
                <w:position w:val="0"/>
                <w:sz w:val="21"/>
                <w:szCs w:val="21"/>
              </w:rPr>
              <w:t>占比</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4</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建筑基底面积（m</w:t>
            </w:r>
            <w:r>
              <w:rPr>
                <w:position w:val="0"/>
                <w:sz w:val="21"/>
                <w:szCs w:val="21"/>
                <w:vertAlign w:val="superscript"/>
              </w:rPr>
              <w:t>2</w:t>
            </w:r>
            <w:r>
              <w:rPr>
                <w:position w:val="0"/>
                <w:sz w:val="21"/>
                <w:szCs w:val="21"/>
              </w:rPr>
              <w:t>）</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5322.51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5</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容积率</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0.4</w:t>
            </w:r>
            <w:r>
              <w:rPr>
                <w:rFonts w:hint="eastAsia"/>
                <w:positio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6</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绿地面积</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5918.22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7</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绿地率（%）</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position w:val="0"/>
                <w:sz w:val="21"/>
                <w:szCs w:val="21"/>
              </w:rPr>
              <w:t>8</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建筑密度（%）</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9</w:t>
            </w:r>
          </w:p>
        </w:tc>
        <w:tc>
          <w:tcPr>
            <w:tcW w:w="2961" w:type="dxa"/>
            <w:vAlign w:val="center"/>
          </w:tcPr>
          <w:p>
            <w:pPr>
              <w:keepNext/>
              <w:keepLines/>
              <w:spacing w:line="240" w:lineRule="auto"/>
              <w:ind w:firstLine="0" w:firstLineChars="0"/>
              <w:jc w:val="center"/>
              <w:rPr>
                <w:position w:val="0"/>
                <w:sz w:val="21"/>
                <w:szCs w:val="21"/>
              </w:rPr>
            </w:pPr>
            <w:r>
              <w:rPr>
                <w:position w:val="0"/>
                <w:sz w:val="21"/>
                <w:szCs w:val="21"/>
              </w:rPr>
              <w:t>建筑层数（层）</w:t>
            </w:r>
          </w:p>
        </w:tc>
        <w:tc>
          <w:tcPr>
            <w:tcW w:w="2284" w:type="dxa"/>
            <w:vAlign w:val="center"/>
          </w:tcPr>
          <w:p>
            <w:pPr>
              <w:keepNext/>
              <w:keepLines/>
              <w:spacing w:line="240" w:lineRule="auto"/>
              <w:ind w:firstLine="0" w:firstLineChars="0"/>
              <w:jc w:val="center"/>
              <w:rPr>
                <w:position w:val="0"/>
                <w:sz w:val="21"/>
                <w:szCs w:val="21"/>
              </w:rPr>
            </w:pPr>
            <w:r>
              <w:rPr>
                <w:positio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10</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停车位数（个）</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11</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僧侣人数（人）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2" w:type="dxa"/>
            <w:vAlign w:val="center"/>
          </w:tcPr>
          <w:p>
            <w:pPr>
              <w:keepNext/>
              <w:keepLines/>
              <w:spacing w:line="240" w:lineRule="auto"/>
              <w:ind w:firstLine="0" w:firstLineChars="0"/>
              <w:jc w:val="center"/>
              <w:rPr>
                <w:position w:val="0"/>
                <w:sz w:val="21"/>
                <w:szCs w:val="21"/>
              </w:rPr>
            </w:pPr>
            <w:r>
              <w:rPr>
                <w:rFonts w:hint="eastAsia"/>
                <w:position w:val="0"/>
                <w:sz w:val="21"/>
                <w:szCs w:val="21"/>
              </w:rPr>
              <w:t>12</w:t>
            </w:r>
          </w:p>
        </w:tc>
        <w:tc>
          <w:tcPr>
            <w:tcW w:w="2961" w:type="dxa"/>
            <w:vAlign w:val="center"/>
          </w:tcPr>
          <w:p>
            <w:pPr>
              <w:keepNext/>
              <w:keepLines/>
              <w:spacing w:line="240" w:lineRule="auto"/>
              <w:ind w:firstLine="0" w:firstLineChars="0"/>
              <w:jc w:val="center"/>
              <w:rPr>
                <w:position w:val="0"/>
                <w:sz w:val="21"/>
                <w:szCs w:val="21"/>
              </w:rPr>
            </w:pPr>
            <w:r>
              <w:rPr>
                <w:rFonts w:hint="eastAsia"/>
                <w:position w:val="0"/>
                <w:sz w:val="21"/>
                <w:szCs w:val="21"/>
              </w:rPr>
              <w:t>居士人数（人）</w:t>
            </w:r>
          </w:p>
        </w:tc>
        <w:tc>
          <w:tcPr>
            <w:tcW w:w="2284" w:type="dxa"/>
            <w:vAlign w:val="center"/>
          </w:tcPr>
          <w:p>
            <w:pPr>
              <w:keepNext/>
              <w:keepLines/>
              <w:spacing w:line="240" w:lineRule="auto"/>
              <w:ind w:firstLine="0" w:firstLineChars="0"/>
              <w:jc w:val="center"/>
              <w:rPr>
                <w:position w:val="0"/>
                <w:sz w:val="21"/>
                <w:szCs w:val="21"/>
              </w:rPr>
            </w:pPr>
            <w:r>
              <w:rPr>
                <w:rFonts w:hint="eastAsia"/>
                <w:position w:val="0"/>
                <w:sz w:val="21"/>
                <w:szCs w:val="21"/>
              </w:rPr>
              <w:t>24</w:t>
            </w:r>
          </w:p>
        </w:tc>
      </w:tr>
    </w:tbl>
    <w:p>
      <w:pPr>
        <w:pStyle w:val="5"/>
        <w:ind w:firstLine="0" w:firstLineChars="0"/>
      </w:pPr>
      <w:r>
        <w:rPr>
          <w:rFonts w:hint="eastAsia"/>
        </w:rPr>
        <w:t>7.1</w:t>
      </w:r>
      <w:r>
        <w:t>给排水</w:t>
      </w:r>
    </w:p>
    <w:p>
      <w:pPr>
        <w:ind w:firstLine="480"/>
      </w:pPr>
      <w:r>
        <w:rPr>
          <w:rFonts w:hint="eastAsia"/>
        </w:rPr>
        <w:t>（1）</w:t>
      </w:r>
      <w:r>
        <w:t>水源：</w:t>
      </w:r>
      <w:r>
        <w:rPr>
          <w:rFonts w:hint="eastAsia"/>
        </w:rPr>
        <w:t>依托西湾村水井，经水泵提升至项目区高位水池后，依靠重力供给生活、消防用水。生活与消防合用有效容积为500m</w:t>
      </w:r>
      <w:r>
        <w:rPr>
          <w:rFonts w:hint="eastAsia"/>
          <w:vertAlign w:val="superscript"/>
        </w:rPr>
        <w:t>3</w:t>
      </w:r>
      <w:r>
        <w:rPr>
          <w:rFonts w:hint="eastAsia"/>
        </w:rPr>
        <w:t>的高位水池。</w:t>
      </w:r>
    </w:p>
    <w:p>
      <w:pPr>
        <w:ind w:firstLine="496"/>
      </w:pPr>
      <w:r>
        <w:rPr>
          <w:rFonts w:hint="eastAsia"/>
          <w:bCs/>
          <w:spacing w:val="4"/>
        </w:rPr>
        <w:t>（2）</w:t>
      </w:r>
      <w:r>
        <w:t>给水系统</w:t>
      </w:r>
      <w:r>
        <w:rPr>
          <w:rFonts w:hint="eastAsia"/>
        </w:rPr>
        <w:t>：工作人员生活用水、住宿人员生活用水、食堂用水、洗衣房用水、绿化用水、道路洒水，用水量参</w:t>
      </w:r>
      <w:r>
        <w:t>照</w:t>
      </w:r>
      <w:r>
        <w:rPr>
          <w:spacing w:val="4"/>
        </w:rPr>
        <w:t>山西省人民政府办公厅《山西省用水定额》</w:t>
      </w:r>
      <w:r>
        <w:rPr>
          <w:rFonts w:hint="eastAsia"/>
          <w:spacing w:val="4"/>
        </w:rPr>
        <w:t>（</w:t>
      </w:r>
      <w:r>
        <w:rPr>
          <w:spacing w:val="4"/>
        </w:rPr>
        <w:t>DB14/T 1049.3-2015</w:t>
      </w:r>
      <w:r>
        <w:rPr>
          <w:rFonts w:hint="eastAsia"/>
          <w:spacing w:val="4"/>
        </w:rPr>
        <w:t>）</w:t>
      </w:r>
      <w:r>
        <w:rPr>
          <w:rFonts w:hint="eastAsia"/>
        </w:rPr>
        <w:t>。</w:t>
      </w:r>
    </w:p>
    <w:p>
      <w:pPr>
        <w:ind w:firstLine="480"/>
      </w:pPr>
      <w:r>
        <w:rPr>
          <w:rFonts w:hint="eastAsia" w:ascii="宋体" w:hAnsi="宋体"/>
        </w:rPr>
        <w:t>①</w:t>
      </w:r>
      <w:r>
        <w:rPr>
          <w:rFonts w:hint="eastAsia"/>
        </w:rPr>
        <w:t>工作人员生活用水：项目工作人员20人，用水定额60L/人</w:t>
      </w:r>
      <w:r>
        <w:t>·</w:t>
      </w:r>
      <w:r>
        <w:rPr>
          <w:rFonts w:hint="eastAsia"/>
        </w:rPr>
        <w:t>d，则工作人员生活用水量为1.2m</w:t>
      </w:r>
      <w:r>
        <w:rPr>
          <w:rFonts w:hint="eastAsia"/>
          <w:vertAlign w:val="superscript"/>
        </w:rPr>
        <w:t>3</w:t>
      </w:r>
      <w:r>
        <w:rPr>
          <w:rFonts w:hint="eastAsia"/>
        </w:rPr>
        <w:t>/d（438m</w:t>
      </w:r>
      <w:r>
        <w:rPr>
          <w:rFonts w:hint="eastAsia"/>
          <w:vertAlign w:val="superscript"/>
        </w:rPr>
        <w:t>3</w:t>
      </w:r>
      <w:r>
        <w:rPr>
          <w:rFonts w:hint="eastAsia"/>
        </w:rPr>
        <w:t>/a）；</w:t>
      </w:r>
    </w:p>
    <w:p>
      <w:pPr>
        <w:ind w:firstLine="480"/>
      </w:pPr>
      <w:r>
        <w:rPr>
          <w:rFonts w:hint="eastAsia" w:ascii="宋体" w:hAnsi="宋体"/>
        </w:rPr>
        <w:t>②</w:t>
      </w:r>
      <w:r>
        <w:rPr>
          <w:rFonts w:hint="eastAsia"/>
        </w:rPr>
        <w:t>住宿人员生活用水：本项目住宿人员按客房住满68人计，用水定额80L/人·d，则住宿人员生活用水量为5.44m</w:t>
      </w:r>
      <w:r>
        <w:rPr>
          <w:rFonts w:hint="eastAsia"/>
          <w:vertAlign w:val="superscript"/>
        </w:rPr>
        <w:t>3</w:t>
      </w:r>
      <w:r>
        <w:rPr>
          <w:rFonts w:hint="eastAsia"/>
        </w:rPr>
        <w:t>/d（1985.6m</w:t>
      </w:r>
      <w:r>
        <w:rPr>
          <w:rFonts w:hint="eastAsia"/>
          <w:vertAlign w:val="superscript"/>
        </w:rPr>
        <w:t>3</w:t>
      </w:r>
      <w:r>
        <w:rPr>
          <w:rFonts w:hint="eastAsia"/>
        </w:rPr>
        <w:t>/a）。</w:t>
      </w:r>
    </w:p>
    <w:p>
      <w:pPr>
        <w:ind w:firstLine="480"/>
      </w:pPr>
      <w:r>
        <w:rPr>
          <w:rFonts w:hint="eastAsia" w:ascii="宋体" w:hAnsi="宋体"/>
        </w:rPr>
        <w:t>③</w:t>
      </w:r>
      <w:r>
        <w:rPr>
          <w:rFonts w:hint="eastAsia"/>
        </w:rPr>
        <w:t>食堂用水：食用人员按最多量计，为108人，食堂用水用水定额取35L/人·d，则食堂用水量为3.78m</w:t>
      </w:r>
      <w:r>
        <w:rPr>
          <w:rFonts w:hint="eastAsia"/>
          <w:vertAlign w:val="superscript"/>
        </w:rPr>
        <w:t>3</w:t>
      </w:r>
      <w:r>
        <w:rPr>
          <w:rFonts w:hint="eastAsia"/>
        </w:rPr>
        <w:t>/d（1379.7m</w:t>
      </w:r>
      <w:r>
        <w:rPr>
          <w:rFonts w:hint="eastAsia"/>
          <w:vertAlign w:val="superscript"/>
        </w:rPr>
        <w:t>3</w:t>
      </w:r>
      <w:r>
        <w:rPr>
          <w:rFonts w:hint="eastAsia"/>
        </w:rPr>
        <w:t>/a）。</w:t>
      </w:r>
    </w:p>
    <w:p>
      <w:pPr>
        <w:ind w:firstLine="480"/>
      </w:pPr>
      <w:r>
        <w:rPr>
          <w:rFonts w:hint="eastAsia" w:ascii="宋体" w:hAnsi="宋体"/>
        </w:rPr>
        <w:t>④</w:t>
      </w:r>
      <w:r>
        <w:rPr>
          <w:rFonts w:hint="eastAsia"/>
        </w:rPr>
        <w:t>洗衣房用水：洗衣房日洗衣量按50kg计，洗衣用水定额3</w:t>
      </w:r>
      <w:r>
        <w:rPr>
          <w:rFonts w:hint="eastAsia"/>
          <w:szCs w:val="21"/>
        </w:rPr>
        <w:t>0L/kg</w:t>
      </w:r>
      <w:r>
        <w:rPr>
          <w:rFonts w:hint="eastAsia"/>
        </w:rPr>
        <w:t>，则洗衣用水量为1.5m</w:t>
      </w:r>
      <w:r>
        <w:rPr>
          <w:rFonts w:hint="eastAsia"/>
          <w:vertAlign w:val="superscript"/>
        </w:rPr>
        <w:t>3</w:t>
      </w:r>
      <w:r>
        <w:rPr>
          <w:rFonts w:hint="eastAsia"/>
        </w:rPr>
        <w:t>/d（547.5m</w:t>
      </w:r>
      <w:r>
        <w:rPr>
          <w:rFonts w:hint="eastAsia"/>
          <w:vertAlign w:val="superscript"/>
        </w:rPr>
        <w:t>3</w:t>
      </w:r>
      <w:r>
        <w:rPr>
          <w:rFonts w:hint="eastAsia"/>
        </w:rPr>
        <w:t>/a）。</w:t>
      </w:r>
    </w:p>
    <w:p>
      <w:pPr>
        <w:spacing w:beforeLines="25" w:line="480" w:lineRule="exact"/>
        <w:ind w:firstLine="480"/>
      </w:pPr>
      <w:r>
        <w:rPr>
          <w:rFonts w:hint="eastAsia" w:ascii="宋体" w:hAnsi="宋体"/>
        </w:rPr>
        <w:t>⑤</w:t>
      </w:r>
      <w:r>
        <w:rPr>
          <w:rFonts w:hint="eastAsia"/>
        </w:rPr>
        <w:t>绿化用水：</w:t>
      </w:r>
      <w:r>
        <w:rPr>
          <w:rFonts w:hint="eastAsia"/>
          <w:bCs/>
        </w:rPr>
        <w:t>浇洒草坪、绿化用水定额暖季型二级</w:t>
      </w:r>
      <w:r>
        <w:rPr>
          <w:rFonts w:hint="eastAsia"/>
          <w:spacing w:val="4"/>
        </w:rPr>
        <w:t>养护</w:t>
      </w:r>
      <w:r>
        <w:rPr>
          <w:spacing w:val="4"/>
        </w:rPr>
        <w:t>用水以</w:t>
      </w:r>
      <w:r>
        <w:rPr>
          <w:rFonts w:hint="eastAsia"/>
          <w:bCs/>
        </w:rPr>
        <w:t>0.12</w:t>
      </w:r>
      <w:r>
        <w:rPr>
          <w:bCs/>
        </w:rPr>
        <w:t xml:space="preserve"> m</w:t>
      </w:r>
      <w:r>
        <w:rPr>
          <w:rFonts w:hint="eastAsia"/>
          <w:bCs/>
          <w:vertAlign w:val="superscript"/>
        </w:rPr>
        <w:t>3</w:t>
      </w:r>
      <w:r>
        <w:rPr>
          <w:bCs/>
        </w:rPr>
        <w:t>/m</w:t>
      </w:r>
      <w:r>
        <w:rPr>
          <w:bCs/>
          <w:vertAlign w:val="superscript"/>
        </w:rPr>
        <w:t>2</w:t>
      </w:r>
      <w:r>
        <w:rPr>
          <w:bCs/>
        </w:rPr>
        <w:t>·</w:t>
      </w:r>
      <w:r>
        <w:rPr>
          <w:rFonts w:hint="eastAsia"/>
          <w:bCs/>
        </w:rPr>
        <w:t>a</w:t>
      </w:r>
      <w:r>
        <w:rPr>
          <w:bCs/>
        </w:rPr>
        <w:t>计算，</w:t>
      </w:r>
      <w:r>
        <w:rPr>
          <w:rFonts w:hint="eastAsia"/>
          <w:bCs/>
        </w:rPr>
        <w:t>项目</w:t>
      </w:r>
      <w:r>
        <w:t>区建设绿化面积为</w:t>
      </w:r>
      <w:r>
        <w:rPr>
          <w:rFonts w:hint="eastAsia"/>
          <w:bCs/>
        </w:rPr>
        <w:t>4327.3</w:t>
      </w:r>
      <w:r>
        <w:t>m</w:t>
      </w:r>
      <w:r>
        <w:rPr>
          <w:vertAlign w:val="superscript"/>
        </w:rPr>
        <w:t>2</w:t>
      </w:r>
      <w:r>
        <w:t>，绿化用水量为</w:t>
      </w:r>
      <w:r>
        <w:rPr>
          <w:rFonts w:hint="eastAsia"/>
        </w:rPr>
        <w:t>519.28</w:t>
      </w:r>
      <w:r>
        <w:t>m</w:t>
      </w:r>
      <w:r>
        <w:rPr>
          <w:vertAlign w:val="superscript"/>
        </w:rPr>
        <w:t>3</w:t>
      </w:r>
      <w:r>
        <w:t>/a，</w:t>
      </w:r>
      <w:r>
        <w:rPr>
          <w:rFonts w:hint="eastAsia"/>
        </w:rPr>
        <w:t>绿化</w:t>
      </w:r>
      <w:r>
        <w:t>天数按</w:t>
      </w:r>
      <w:r>
        <w:rPr>
          <w:rFonts w:hint="eastAsia"/>
        </w:rPr>
        <w:t>215</w:t>
      </w:r>
      <w:r>
        <w:t>天计，则绿化用水量为</w:t>
      </w:r>
      <w:r>
        <w:rPr>
          <w:rFonts w:hint="eastAsia"/>
        </w:rPr>
        <w:t>2.42</w:t>
      </w:r>
      <w:r>
        <w:t>m</w:t>
      </w:r>
      <w:r>
        <w:rPr>
          <w:vertAlign w:val="superscript"/>
        </w:rPr>
        <w:t>3</w:t>
      </w:r>
      <w:r>
        <w:t>/d。</w:t>
      </w:r>
    </w:p>
    <w:p>
      <w:pPr>
        <w:spacing w:beforeLines="25" w:line="480" w:lineRule="exact"/>
        <w:ind w:firstLine="480"/>
        <w:rPr>
          <w:bCs/>
        </w:rPr>
      </w:pPr>
      <w:r>
        <w:rPr>
          <w:rFonts w:ascii="宋体" w:hAnsi="宋体"/>
        </w:rPr>
        <w:fldChar w:fldCharType="begin"/>
      </w:r>
      <w:r>
        <w:rPr>
          <w:rFonts w:ascii="宋体" w:hAnsi="宋体"/>
        </w:rPr>
        <w:instrText xml:space="preserve"> </w:instrText>
      </w:r>
      <w:r>
        <w:rPr>
          <w:rFonts w:hint="eastAsia" w:ascii="宋体" w:hAnsi="宋体"/>
        </w:rPr>
        <w:instrText xml:space="preserve">= 6 \* GB3</w:instrText>
      </w:r>
      <w:r>
        <w:rPr>
          <w:rFonts w:ascii="宋体" w:hAnsi="宋体"/>
        </w:rPr>
        <w:instrText xml:space="preserve"> </w:instrText>
      </w:r>
      <w:r>
        <w:rPr>
          <w:rFonts w:ascii="宋体" w:hAnsi="宋体"/>
        </w:rPr>
        <w:fldChar w:fldCharType="separate"/>
      </w:r>
      <w:r>
        <w:rPr>
          <w:rFonts w:hint="eastAsia" w:ascii="宋体" w:hAnsi="宋体"/>
        </w:rPr>
        <w:t>⑥</w:t>
      </w:r>
      <w:r>
        <w:rPr>
          <w:rFonts w:ascii="宋体" w:hAnsi="宋体"/>
        </w:rPr>
        <w:fldChar w:fldCharType="end"/>
      </w:r>
      <w:r>
        <w:t>道路</w:t>
      </w:r>
      <w:r>
        <w:rPr>
          <w:rFonts w:hint="eastAsia"/>
        </w:rPr>
        <w:t>场地</w:t>
      </w:r>
      <w:r>
        <w:t>洒水</w:t>
      </w:r>
      <w:r>
        <w:rPr>
          <w:rFonts w:hint="eastAsia"/>
        </w:rPr>
        <w:t>：</w:t>
      </w:r>
      <w:r>
        <w:rPr>
          <w:bCs/>
        </w:rPr>
        <w:t>厂区道路</w:t>
      </w:r>
      <w:r>
        <w:rPr>
          <w:rFonts w:hint="eastAsia"/>
          <w:bCs/>
        </w:rPr>
        <w:t>场地</w:t>
      </w:r>
      <w:r>
        <w:rPr>
          <w:bCs/>
        </w:rPr>
        <w:t>面积</w:t>
      </w:r>
      <w:r>
        <w:rPr>
          <w:rFonts w:hint="eastAsia"/>
          <w:bCs/>
        </w:rPr>
        <w:t>共5000</w:t>
      </w:r>
      <w:r>
        <w:rPr>
          <w:bCs/>
        </w:rPr>
        <w:t>m</w:t>
      </w:r>
      <w:r>
        <w:rPr>
          <w:bCs/>
          <w:vertAlign w:val="superscript"/>
        </w:rPr>
        <w:t>2</w:t>
      </w:r>
      <w:r>
        <w:rPr>
          <w:bCs/>
        </w:rPr>
        <w:t>，洒水用水以0.</w:t>
      </w:r>
      <w:r>
        <w:rPr>
          <w:rFonts w:hint="eastAsia"/>
          <w:bCs/>
        </w:rPr>
        <w:t>3</w:t>
      </w:r>
      <w:r>
        <w:rPr>
          <w:bCs/>
        </w:rPr>
        <w:t>5L/m</w:t>
      </w:r>
      <w:r>
        <w:rPr>
          <w:bCs/>
          <w:vertAlign w:val="superscript"/>
        </w:rPr>
        <w:t>2</w:t>
      </w:r>
      <w:r>
        <w:rPr>
          <w:bCs/>
        </w:rPr>
        <w:t>·次，2次/d计算，</w:t>
      </w:r>
      <w:r>
        <w:t>则</w:t>
      </w:r>
      <w:r>
        <w:rPr>
          <w:rFonts w:hint="eastAsia"/>
        </w:rPr>
        <w:t>道路、场地洒水</w:t>
      </w:r>
      <w:r>
        <w:t>量为</w:t>
      </w:r>
      <w:r>
        <w:rPr>
          <w:rFonts w:hint="eastAsia"/>
        </w:rPr>
        <w:t>3.5</w:t>
      </w:r>
      <w:r>
        <w:t>m</w:t>
      </w:r>
      <w:r>
        <w:rPr>
          <w:vertAlign w:val="superscript"/>
        </w:rPr>
        <w:t>3</w:t>
      </w:r>
      <w:r>
        <w:t>/d</w:t>
      </w:r>
      <w:r>
        <w:rPr>
          <w:rFonts w:hint="eastAsia"/>
        </w:rPr>
        <w:t>，</w:t>
      </w:r>
      <w:r>
        <w:t>年</w:t>
      </w:r>
      <w:r>
        <w:rPr>
          <w:rFonts w:hint="eastAsia"/>
        </w:rPr>
        <w:t>洒</w:t>
      </w:r>
      <w:r>
        <w:t>水天数按</w:t>
      </w:r>
      <w:r>
        <w:rPr>
          <w:rFonts w:hint="eastAsia"/>
        </w:rPr>
        <w:t>215</w:t>
      </w:r>
      <w:r>
        <w:t>天计</w:t>
      </w:r>
      <w:r>
        <w:rPr>
          <w:bCs/>
        </w:rPr>
        <w:t>，则用水量为</w:t>
      </w:r>
      <w:r>
        <w:rPr>
          <w:rFonts w:hint="eastAsia"/>
          <w:bCs/>
        </w:rPr>
        <w:t>752.5</w:t>
      </w:r>
      <w:r>
        <w:rPr>
          <w:bCs/>
        </w:rPr>
        <w:t>m</w:t>
      </w:r>
      <w:r>
        <w:rPr>
          <w:bCs/>
          <w:vertAlign w:val="superscript"/>
        </w:rPr>
        <w:t>3</w:t>
      </w:r>
      <w:r>
        <w:rPr>
          <w:bCs/>
        </w:rPr>
        <w:t>/a。</w:t>
      </w:r>
    </w:p>
    <w:p>
      <w:pPr>
        <w:ind w:firstLine="480"/>
      </w:pPr>
      <w:r>
        <w:rPr>
          <w:rFonts w:hint="eastAsia"/>
        </w:rPr>
        <w:t>（3）</w:t>
      </w:r>
      <w:r>
        <w:t>排水系统：</w:t>
      </w:r>
    </w:p>
    <w:p>
      <w:pPr>
        <w:ind w:firstLine="480"/>
        <w:rPr>
          <w:bCs/>
        </w:rPr>
      </w:pPr>
      <w:r>
        <w:rPr>
          <w:rFonts w:hint="eastAsia"/>
          <w:snapToGrid w:val="0"/>
          <w:kern w:val="0"/>
        </w:rPr>
        <w:t>本项目采用雨污分流的排水体制。</w:t>
      </w:r>
      <w:r>
        <w:rPr>
          <w:rFonts w:hint="eastAsia"/>
        </w:rPr>
        <w:t>项目区内</w:t>
      </w:r>
      <w:r>
        <w:rPr>
          <w:rFonts w:hint="eastAsia"/>
          <w:snapToGrid w:val="0"/>
          <w:kern w:val="0"/>
        </w:rPr>
        <w:t>雨水沿地面坡度进入雨水排水管道，最终排出项目区外</w:t>
      </w:r>
      <w:r>
        <w:rPr>
          <w:rFonts w:hint="eastAsia"/>
        </w:rPr>
        <w:t>排水沟渠。本项目污水主要为人员生活污水、食堂废水、洗衣废水。食堂废水经隔油池（1m</w:t>
      </w:r>
      <w:r>
        <w:rPr>
          <w:rFonts w:hint="eastAsia"/>
          <w:vertAlign w:val="superscript"/>
        </w:rPr>
        <w:t>3</w:t>
      </w:r>
      <w:r>
        <w:rPr>
          <w:rFonts w:hint="eastAsia"/>
        </w:rPr>
        <w:t>）隔油后与生活污水一起排入化粪池（200m</w:t>
      </w:r>
      <w:r>
        <w:rPr>
          <w:rFonts w:hint="eastAsia"/>
          <w:vertAlign w:val="superscript"/>
        </w:rPr>
        <w:t>3</w:t>
      </w:r>
      <w:r>
        <w:rPr>
          <w:rFonts w:hint="eastAsia"/>
        </w:rPr>
        <w:t>）预处理，目前，项目周边没有城镇污水管网，不具备污水管道进入污水处理厂的条件，本项目距离五台山杨柏峪污水处理厂约7km，因此，项目将使用污水罐车定期将污水送至五台山杨柏峪污水处理厂。</w:t>
      </w:r>
      <w:r>
        <w:rPr>
          <w:rFonts w:hint="eastAsia"/>
          <w:bCs/>
        </w:rPr>
        <w:t>五台山风景区污水处理厂—杨柏峪污水处理厂位于五台山风景区台怀镇杨柏峪村内，该污水处理厂处理工艺为氧化沟处理工艺，投运时间为2008年10月，设计处理能力为5000m</w:t>
      </w:r>
      <w:r>
        <w:rPr>
          <w:rFonts w:hint="eastAsia"/>
          <w:bCs/>
          <w:vertAlign w:val="superscript"/>
        </w:rPr>
        <w:t>3</w:t>
      </w:r>
      <w:r>
        <w:rPr>
          <w:rFonts w:hint="eastAsia"/>
          <w:bCs/>
        </w:rPr>
        <w:t>/d，目前平均处理水量为2400m</w:t>
      </w:r>
      <w:r>
        <w:rPr>
          <w:rFonts w:hint="eastAsia"/>
          <w:bCs/>
          <w:vertAlign w:val="superscript"/>
        </w:rPr>
        <w:t>3</w:t>
      </w:r>
      <w:r>
        <w:rPr>
          <w:rFonts w:hint="eastAsia"/>
          <w:bCs/>
        </w:rPr>
        <w:t>/d，剩余处理能力为2600m</w:t>
      </w:r>
      <w:r>
        <w:rPr>
          <w:rFonts w:hint="eastAsia"/>
          <w:bCs/>
          <w:vertAlign w:val="superscript"/>
        </w:rPr>
        <w:t>3</w:t>
      </w:r>
      <w:r>
        <w:rPr>
          <w:rFonts w:hint="eastAsia"/>
          <w:bCs/>
        </w:rPr>
        <w:t>/d。本项目日最大污水产生量为9.68m</w:t>
      </w:r>
      <w:r>
        <w:rPr>
          <w:rFonts w:hint="eastAsia"/>
          <w:bCs/>
          <w:vertAlign w:val="superscript"/>
        </w:rPr>
        <w:t>3</w:t>
      </w:r>
      <w:r>
        <w:rPr>
          <w:rFonts w:hint="eastAsia"/>
          <w:bCs/>
        </w:rPr>
        <w:t>/d，远远小于污水处理厂剩余处理能力，因此，五台山杨柏峪污水处理厂完全有能力收纳项目废水。</w:t>
      </w:r>
    </w:p>
    <w:p>
      <w:pPr>
        <w:ind w:firstLine="480"/>
      </w:pPr>
      <w:r>
        <w:t>本项目</w:t>
      </w:r>
      <w:r>
        <w:rPr>
          <w:rFonts w:hint="eastAsia"/>
        </w:rPr>
        <w:t>最大排</w:t>
      </w:r>
      <w:r>
        <w:t>水量为</w:t>
      </w:r>
      <w:r>
        <w:rPr>
          <w:rFonts w:hint="eastAsia"/>
        </w:rPr>
        <w:t>9.68</w:t>
      </w:r>
      <w:r>
        <w:t>m</w:t>
      </w:r>
      <w:r>
        <w:rPr>
          <w:vertAlign w:val="superscript"/>
        </w:rPr>
        <w:t>3</w:t>
      </w:r>
      <w:r>
        <w:t>/d</w:t>
      </w:r>
      <w:r>
        <w:rPr>
          <w:rFonts w:hint="eastAsia"/>
        </w:rPr>
        <w:t>（3533.2</w:t>
      </w:r>
      <w:r>
        <w:t>m</w:t>
      </w:r>
      <w:r>
        <w:rPr>
          <w:vertAlign w:val="superscript"/>
        </w:rPr>
        <w:t>3</w:t>
      </w:r>
      <w:r>
        <w:t>/</w:t>
      </w:r>
      <w:r>
        <w:rPr>
          <w:rFonts w:hint="eastAsia"/>
        </w:rPr>
        <w:t>a），项目设置200m</w:t>
      </w:r>
      <w:r>
        <w:rPr>
          <w:rFonts w:hint="eastAsia"/>
          <w:vertAlign w:val="superscript"/>
        </w:rPr>
        <w:t>3</w:t>
      </w:r>
      <w:r>
        <w:rPr>
          <w:rFonts w:hint="eastAsia"/>
        </w:rPr>
        <w:t>化粪池一座，可以满足达到最大排水量时10天的储存需求，项目拟采用污水罐车夏季每隔两天（冬季为每隔五天）对化粪池内污水进行清运，从而，本项目废水得以保证送至污水处理厂进行处理，严禁项目废水外排。</w:t>
      </w:r>
      <w:r>
        <w:t>项目用排水</w:t>
      </w:r>
      <w:r>
        <w:rPr>
          <w:rFonts w:hint="eastAsia"/>
        </w:rPr>
        <w:t>情况</w:t>
      </w:r>
      <w:r>
        <w:t>见</w:t>
      </w:r>
      <w:r>
        <w:rPr>
          <w:rFonts w:hint="eastAsia"/>
        </w:rPr>
        <w:t>下</w:t>
      </w:r>
      <w:r>
        <w:t>表</w:t>
      </w:r>
      <w:r>
        <w:rPr>
          <w:rFonts w:hint="eastAsia"/>
        </w:rPr>
        <w:t>3</w:t>
      </w:r>
      <w:r>
        <w:t>。</w:t>
      </w:r>
    </w:p>
    <w:tbl>
      <w:tblPr>
        <w:tblStyle w:val="49"/>
        <w:tblpPr w:leftFromText="180" w:rightFromText="180" w:vertAnchor="text" w:horzAnchor="margin" w:tblpY="529"/>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365"/>
        <w:gridCol w:w="1187"/>
        <w:gridCol w:w="859"/>
        <w:gridCol w:w="881"/>
        <w:gridCol w:w="903"/>
        <w:gridCol w:w="900"/>
        <w:gridCol w:w="876"/>
        <w:gridCol w:w="900"/>
        <w:gridCol w:w="633"/>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用水项目</w:t>
            </w:r>
          </w:p>
        </w:tc>
        <w:tc>
          <w:tcPr>
            <w:tcW w:w="698"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用水定额</w:t>
            </w:r>
          </w:p>
        </w:tc>
        <w:tc>
          <w:tcPr>
            <w:tcW w:w="505"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数量</w:t>
            </w:r>
          </w:p>
        </w:tc>
        <w:tc>
          <w:tcPr>
            <w:tcW w:w="518"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用水</w:t>
            </w:r>
            <w:r>
              <w:rPr>
                <w:position w:val="0"/>
                <w:sz w:val="21"/>
                <w:szCs w:val="21"/>
              </w:rPr>
              <w:t>量</w:t>
            </w:r>
          </w:p>
          <w:p>
            <w:pPr>
              <w:keepNext/>
              <w:keepLines/>
              <w:snapToGrid w:val="0"/>
              <w:spacing w:line="240" w:lineRule="auto"/>
              <w:ind w:firstLine="0" w:firstLineChars="0"/>
              <w:jc w:val="center"/>
              <w:rPr>
                <w:position w:val="0"/>
                <w:sz w:val="21"/>
                <w:szCs w:val="21"/>
              </w:rPr>
            </w:pPr>
            <w:r>
              <w:rPr>
                <w:position w:val="0"/>
                <w:sz w:val="21"/>
                <w:szCs w:val="21"/>
              </w:rPr>
              <w:t>（m</w:t>
            </w:r>
            <w:r>
              <w:rPr>
                <w:position w:val="0"/>
                <w:sz w:val="21"/>
                <w:szCs w:val="21"/>
                <w:vertAlign w:val="superscript"/>
              </w:rPr>
              <w:t>3</w:t>
            </w:r>
            <w:r>
              <w:rPr>
                <w:position w:val="0"/>
                <w:sz w:val="21"/>
                <w:szCs w:val="21"/>
              </w:rPr>
              <w:t>/</w:t>
            </w:r>
            <w:r>
              <w:rPr>
                <w:rFonts w:hint="eastAsia"/>
                <w:position w:val="0"/>
                <w:sz w:val="21"/>
                <w:szCs w:val="21"/>
              </w:rPr>
              <w:t>d</w:t>
            </w:r>
            <w:r>
              <w:rPr>
                <w:position w:val="0"/>
                <w:sz w:val="21"/>
                <w:szCs w:val="21"/>
              </w:rPr>
              <w:t>）</w:t>
            </w:r>
          </w:p>
        </w:tc>
        <w:tc>
          <w:tcPr>
            <w:tcW w:w="531"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年用水量</w:t>
            </w:r>
          </w:p>
          <w:p>
            <w:pPr>
              <w:keepNext/>
              <w:keepLines/>
              <w:snapToGrid w:val="0"/>
              <w:spacing w:line="240" w:lineRule="auto"/>
              <w:ind w:firstLine="0" w:firstLineChars="0"/>
              <w:jc w:val="center"/>
              <w:rPr>
                <w:position w:val="0"/>
                <w:sz w:val="21"/>
                <w:szCs w:val="21"/>
              </w:rPr>
            </w:pPr>
            <w:r>
              <w:rPr>
                <w:position w:val="0"/>
                <w:sz w:val="21"/>
                <w:szCs w:val="21"/>
              </w:rPr>
              <w:t>m</w:t>
            </w:r>
            <w:r>
              <w:rPr>
                <w:position w:val="0"/>
                <w:sz w:val="21"/>
                <w:szCs w:val="21"/>
                <w:vertAlign w:val="superscript"/>
              </w:rPr>
              <w:t>3</w:t>
            </w:r>
            <w:r>
              <w:rPr>
                <w:position w:val="0"/>
                <w:sz w:val="21"/>
                <w:szCs w:val="21"/>
              </w:rPr>
              <w:t>/a</w:t>
            </w:r>
          </w:p>
        </w:tc>
        <w:tc>
          <w:tcPr>
            <w:tcW w:w="529"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排放系数</w:t>
            </w:r>
          </w:p>
          <w:p>
            <w:pPr>
              <w:keepNext/>
              <w:keepLines/>
              <w:snapToGrid w:val="0"/>
              <w:spacing w:line="240" w:lineRule="auto"/>
              <w:ind w:firstLine="0" w:firstLineChars="0"/>
              <w:jc w:val="center"/>
              <w:rPr>
                <w:position w:val="0"/>
                <w:sz w:val="21"/>
                <w:szCs w:val="21"/>
              </w:rPr>
            </w:pPr>
            <w:r>
              <w:rPr>
                <w:rFonts w:hint="eastAsia"/>
                <w:position w:val="0"/>
                <w:sz w:val="21"/>
                <w:szCs w:val="21"/>
              </w:rPr>
              <w:t>（%）</w:t>
            </w:r>
          </w:p>
        </w:tc>
        <w:tc>
          <w:tcPr>
            <w:tcW w:w="515"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排水</w:t>
            </w:r>
            <w:r>
              <w:rPr>
                <w:position w:val="0"/>
                <w:sz w:val="21"/>
                <w:szCs w:val="21"/>
              </w:rPr>
              <w:t>量</w:t>
            </w:r>
          </w:p>
          <w:p>
            <w:pPr>
              <w:keepNext/>
              <w:keepLines/>
              <w:snapToGrid w:val="0"/>
              <w:spacing w:line="240" w:lineRule="auto"/>
              <w:ind w:firstLine="0" w:firstLineChars="0"/>
              <w:jc w:val="center"/>
              <w:rPr>
                <w:position w:val="0"/>
                <w:sz w:val="21"/>
                <w:szCs w:val="21"/>
              </w:rPr>
            </w:pPr>
            <w:r>
              <w:rPr>
                <w:position w:val="0"/>
                <w:sz w:val="21"/>
                <w:szCs w:val="21"/>
              </w:rPr>
              <w:t>（m</w:t>
            </w:r>
            <w:r>
              <w:rPr>
                <w:position w:val="0"/>
                <w:sz w:val="21"/>
                <w:szCs w:val="21"/>
                <w:vertAlign w:val="superscript"/>
              </w:rPr>
              <w:t>3</w:t>
            </w:r>
            <w:r>
              <w:rPr>
                <w:position w:val="0"/>
                <w:sz w:val="21"/>
                <w:szCs w:val="21"/>
              </w:rPr>
              <w:t>/</w:t>
            </w:r>
            <w:r>
              <w:rPr>
                <w:rFonts w:hint="eastAsia"/>
                <w:position w:val="0"/>
                <w:sz w:val="21"/>
                <w:szCs w:val="21"/>
              </w:rPr>
              <w:t>d）</w:t>
            </w:r>
          </w:p>
        </w:tc>
        <w:tc>
          <w:tcPr>
            <w:tcW w:w="529"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年排水量</w:t>
            </w:r>
          </w:p>
          <w:p>
            <w:pPr>
              <w:keepNext/>
              <w:keepLines/>
              <w:snapToGrid w:val="0"/>
              <w:spacing w:line="240" w:lineRule="auto"/>
              <w:ind w:firstLine="0" w:firstLineChars="0"/>
              <w:jc w:val="center"/>
              <w:rPr>
                <w:position w:val="0"/>
                <w:sz w:val="21"/>
                <w:szCs w:val="21"/>
              </w:rPr>
            </w:pPr>
            <w:r>
              <w:rPr>
                <w:position w:val="0"/>
                <w:sz w:val="21"/>
                <w:szCs w:val="21"/>
              </w:rPr>
              <w:t>m</w:t>
            </w:r>
            <w:r>
              <w:rPr>
                <w:position w:val="0"/>
                <w:sz w:val="21"/>
                <w:szCs w:val="21"/>
                <w:vertAlign w:val="superscript"/>
              </w:rPr>
              <w:t>3</w:t>
            </w:r>
            <w:r>
              <w:rPr>
                <w:position w:val="0"/>
                <w:sz w:val="21"/>
                <w:szCs w:val="21"/>
              </w:rPr>
              <w:t>/a</w:t>
            </w:r>
          </w:p>
        </w:tc>
        <w:tc>
          <w:tcPr>
            <w:tcW w:w="372"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备注</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41" w:hRule="atLeast"/>
        </w:trPr>
        <w:tc>
          <w:tcPr>
            <w:tcW w:w="803" w:type="pct"/>
            <w:vMerge w:val="continue"/>
            <w:vAlign w:val="center"/>
          </w:tcPr>
          <w:p>
            <w:pPr>
              <w:keepNext/>
              <w:keepLines/>
              <w:snapToGrid w:val="0"/>
              <w:spacing w:line="240" w:lineRule="auto"/>
              <w:ind w:firstLine="0" w:firstLineChars="0"/>
              <w:jc w:val="center"/>
              <w:rPr>
                <w:position w:val="0"/>
                <w:sz w:val="21"/>
                <w:szCs w:val="21"/>
              </w:rPr>
            </w:pPr>
          </w:p>
        </w:tc>
        <w:tc>
          <w:tcPr>
            <w:tcW w:w="698" w:type="pct"/>
            <w:vMerge w:val="continue"/>
            <w:vAlign w:val="center"/>
          </w:tcPr>
          <w:p>
            <w:pPr>
              <w:keepNext/>
              <w:keepLines/>
              <w:snapToGrid w:val="0"/>
              <w:spacing w:line="240" w:lineRule="auto"/>
              <w:ind w:firstLine="0" w:firstLineChars="0"/>
              <w:jc w:val="center"/>
              <w:rPr>
                <w:position w:val="0"/>
                <w:sz w:val="21"/>
                <w:szCs w:val="21"/>
              </w:rPr>
            </w:pPr>
          </w:p>
        </w:tc>
        <w:tc>
          <w:tcPr>
            <w:tcW w:w="505" w:type="pct"/>
            <w:vMerge w:val="continue"/>
            <w:vAlign w:val="center"/>
          </w:tcPr>
          <w:p>
            <w:pPr>
              <w:keepNext/>
              <w:keepLines/>
              <w:snapToGrid w:val="0"/>
              <w:spacing w:line="240" w:lineRule="auto"/>
              <w:ind w:firstLine="0" w:firstLineChars="0"/>
              <w:jc w:val="center"/>
              <w:rPr>
                <w:position w:val="0"/>
                <w:sz w:val="21"/>
                <w:szCs w:val="21"/>
              </w:rPr>
            </w:pPr>
          </w:p>
        </w:tc>
        <w:tc>
          <w:tcPr>
            <w:tcW w:w="518" w:type="pct"/>
            <w:vMerge w:val="continue"/>
            <w:vAlign w:val="center"/>
          </w:tcPr>
          <w:p>
            <w:pPr>
              <w:keepNext/>
              <w:keepLines/>
              <w:snapToGrid w:val="0"/>
              <w:spacing w:line="240" w:lineRule="auto"/>
              <w:ind w:firstLine="0" w:firstLineChars="0"/>
              <w:jc w:val="center"/>
              <w:rPr>
                <w:position w:val="0"/>
                <w:sz w:val="21"/>
                <w:szCs w:val="21"/>
              </w:rPr>
            </w:pPr>
          </w:p>
        </w:tc>
        <w:tc>
          <w:tcPr>
            <w:tcW w:w="531" w:type="pct"/>
            <w:vMerge w:val="continue"/>
            <w:vAlign w:val="center"/>
          </w:tcPr>
          <w:p>
            <w:pPr>
              <w:keepNext/>
              <w:keepLines/>
              <w:snapToGrid w:val="0"/>
              <w:spacing w:line="240" w:lineRule="auto"/>
              <w:ind w:firstLine="0" w:firstLineChars="0"/>
              <w:jc w:val="center"/>
              <w:rPr>
                <w:position w:val="0"/>
                <w:sz w:val="21"/>
                <w:szCs w:val="21"/>
              </w:rPr>
            </w:pPr>
          </w:p>
        </w:tc>
        <w:tc>
          <w:tcPr>
            <w:tcW w:w="529" w:type="pct"/>
            <w:vMerge w:val="continue"/>
            <w:vAlign w:val="center"/>
          </w:tcPr>
          <w:p>
            <w:pPr>
              <w:keepNext/>
              <w:keepLines/>
              <w:snapToGrid w:val="0"/>
              <w:spacing w:line="240" w:lineRule="auto"/>
              <w:ind w:firstLine="0" w:firstLineChars="0"/>
              <w:jc w:val="center"/>
              <w:rPr>
                <w:position w:val="0"/>
                <w:sz w:val="21"/>
                <w:szCs w:val="21"/>
              </w:rPr>
            </w:pPr>
          </w:p>
        </w:tc>
        <w:tc>
          <w:tcPr>
            <w:tcW w:w="515" w:type="pct"/>
            <w:vMerge w:val="continue"/>
            <w:vAlign w:val="center"/>
          </w:tcPr>
          <w:p>
            <w:pPr>
              <w:keepNext/>
              <w:keepLines/>
              <w:snapToGrid w:val="0"/>
              <w:spacing w:line="240" w:lineRule="auto"/>
              <w:ind w:firstLine="0" w:firstLineChars="0"/>
              <w:jc w:val="center"/>
              <w:rPr>
                <w:position w:val="0"/>
                <w:sz w:val="21"/>
                <w:szCs w:val="21"/>
              </w:rPr>
            </w:pPr>
          </w:p>
        </w:tc>
        <w:tc>
          <w:tcPr>
            <w:tcW w:w="529" w:type="pct"/>
            <w:vMerge w:val="continue"/>
            <w:vAlign w:val="center"/>
          </w:tcPr>
          <w:p>
            <w:pPr>
              <w:keepNext/>
              <w:keepLines/>
              <w:snapToGrid w:val="0"/>
              <w:spacing w:line="240" w:lineRule="auto"/>
              <w:ind w:firstLine="0" w:firstLineChars="0"/>
              <w:jc w:val="center"/>
              <w:rPr>
                <w:position w:val="0"/>
                <w:sz w:val="21"/>
                <w:szCs w:val="21"/>
              </w:rPr>
            </w:pPr>
          </w:p>
        </w:tc>
        <w:tc>
          <w:tcPr>
            <w:tcW w:w="372" w:type="pct"/>
            <w:vMerge w:val="continue"/>
            <w:vAlign w:val="center"/>
          </w:tcPr>
          <w:p>
            <w:pPr>
              <w:keepNext/>
              <w:keepLines/>
              <w:snapToGrid w:val="0"/>
              <w:spacing w:line="240" w:lineRule="auto"/>
              <w:ind w:firstLine="0" w:firstLineChars="0"/>
              <w:jc w:val="center"/>
              <w:rPr>
                <w:position w:val="0"/>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工作人员用水</w:t>
            </w:r>
          </w:p>
        </w:tc>
        <w:tc>
          <w:tcPr>
            <w:tcW w:w="69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60 L/人</w:t>
            </w:r>
            <w:r>
              <w:rPr>
                <w:position w:val="0"/>
                <w:sz w:val="21"/>
                <w:szCs w:val="21"/>
              </w:rPr>
              <w:t>·</w:t>
            </w:r>
            <w:r>
              <w:rPr>
                <w:rFonts w:hint="eastAsia"/>
                <w:position w:val="0"/>
                <w:sz w:val="21"/>
                <w:szCs w:val="21"/>
              </w:rPr>
              <w:t>d</w:t>
            </w:r>
          </w:p>
        </w:tc>
        <w:tc>
          <w:tcPr>
            <w:tcW w:w="50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20人</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1.2</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438</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80</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0.96</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350.4</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住宿人员用水</w:t>
            </w:r>
          </w:p>
        </w:tc>
        <w:tc>
          <w:tcPr>
            <w:tcW w:w="69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80 L/人</w:t>
            </w:r>
            <w:r>
              <w:rPr>
                <w:position w:val="0"/>
                <w:sz w:val="21"/>
                <w:szCs w:val="21"/>
              </w:rPr>
              <w:t>·</w:t>
            </w:r>
            <w:r>
              <w:rPr>
                <w:rFonts w:hint="eastAsia"/>
                <w:position w:val="0"/>
                <w:sz w:val="21"/>
                <w:szCs w:val="21"/>
              </w:rPr>
              <w:t>d</w:t>
            </w:r>
          </w:p>
        </w:tc>
        <w:tc>
          <w:tcPr>
            <w:tcW w:w="50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68人</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5.44</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1985.6</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80</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4.35</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1587.75</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食堂用水</w:t>
            </w:r>
          </w:p>
        </w:tc>
        <w:tc>
          <w:tcPr>
            <w:tcW w:w="69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35L/人</w:t>
            </w:r>
            <w:r>
              <w:rPr>
                <w:position w:val="0"/>
                <w:sz w:val="21"/>
                <w:szCs w:val="21"/>
              </w:rPr>
              <w:t>·</w:t>
            </w:r>
            <w:r>
              <w:rPr>
                <w:rFonts w:hint="eastAsia"/>
                <w:position w:val="0"/>
                <w:sz w:val="21"/>
                <w:szCs w:val="21"/>
              </w:rPr>
              <w:t>d</w:t>
            </w:r>
          </w:p>
        </w:tc>
        <w:tc>
          <w:tcPr>
            <w:tcW w:w="50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108人</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3.78</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1379.7</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80</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3.02</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1102.3</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洗衣房用水</w:t>
            </w:r>
          </w:p>
        </w:tc>
        <w:tc>
          <w:tcPr>
            <w:tcW w:w="69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30L/kg</w:t>
            </w:r>
          </w:p>
        </w:tc>
        <w:tc>
          <w:tcPr>
            <w:tcW w:w="50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50kg</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1.5</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547.5</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90</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1.35</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492.75</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365天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绿化用水</w:t>
            </w:r>
          </w:p>
        </w:tc>
        <w:tc>
          <w:tcPr>
            <w:tcW w:w="69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0.12</w:t>
            </w:r>
            <w:r>
              <w:rPr>
                <w:position w:val="0"/>
                <w:sz w:val="21"/>
                <w:szCs w:val="21"/>
              </w:rPr>
              <w:t xml:space="preserve"> m</w:t>
            </w:r>
            <w:r>
              <w:rPr>
                <w:rFonts w:hint="eastAsia"/>
                <w:position w:val="0"/>
                <w:sz w:val="21"/>
                <w:szCs w:val="21"/>
                <w:vertAlign w:val="superscript"/>
              </w:rPr>
              <w:t>3</w:t>
            </w:r>
            <w:r>
              <w:rPr>
                <w:position w:val="0"/>
                <w:sz w:val="21"/>
                <w:szCs w:val="21"/>
              </w:rPr>
              <w:t>/m</w:t>
            </w:r>
            <w:r>
              <w:rPr>
                <w:position w:val="0"/>
                <w:sz w:val="21"/>
                <w:szCs w:val="21"/>
                <w:vertAlign w:val="superscript"/>
              </w:rPr>
              <w:t>2</w:t>
            </w:r>
            <w:r>
              <w:rPr>
                <w:position w:val="0"/>
                <w:sz w:val="21"/>
                <w:szCs w:val="21"/>
              </w:rPr>
              <w:t>·</w:t>
            </w:r>
            <w:r>
              <w:rPr>
                <w:rFonts w:hint="eastAsia"/>
                <w:position w:val="0"/>
                <w:sz w:val="21"/>
                <w:szCs w:val="21"/>
              </w:rPr>
              <w:t>a</w:t>
            </w:r>
          </w:p>
        </w:tc>
        <w:tc>
          <w:tcPr>
            <w:tcW w:w="50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4327.3m</w:t>
            </w:r>
            <w:r>
              <w:rPr>
                <w:rFonts w:hint="eastAsia"/>
                <w:position w:val="0"/>
                <w:sz w:val="21"/>
                <w:szCs w:val="21"/>
                <w:vertAlign w:val="superscript"/>
              </w:rPr>
              <w:t>2</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2.42</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519.28</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215天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道路场地洒水</w:t>
            </w:r>
          </w:p>
        </w:tc>
        <w:tc>
          <w:tcPr>
            <w:tcW w:w="698" w:type="pct"/>
            <w:vAlign w:val="center"/>
          </w:tcPr>
          <w:p>
            <w:pPr>
              <w:keepNext/>
              <w:keepLines/>
              <w:snapToGrid w:val="0"/>
              <w:spacing w:line="240" w:lineRule="auto"/>
              <w:ind w:firstLine="0" w:firstLineChars="0"/>
              <w:jc w:val="center"/>
              <w:rPr>
                <w:position w:val="0"/>
                <w:sz w:val="21"/>
                <w:szCs w:val="21"/>
              </w:rPr>
            </w:pPr>
            <w:r>
              <w:rPr>
                <w:position w:val="0"/>
                <w:sz w:val="21"/>
                <w:szCs w:val="21"/>
              </w:rPr>
              <w:t>0.</w:t>
            </w:r>
            <w:r>
              <w:rPr>
                <w:rFonts w:hint="eastAsia"/>
                <w:position w:val="0"/>
                <w:sz w:val="21"/>
                <w:szCs w:val="21"/>
              </w:rPr>
              <w:t>3</w:t>
            </w:r>
            <w:r>
              <w:rPr>
                <w:position w:val="0"/>
                <w:sz w:val="21"/>
                <w:szCs w:val="21"/>
              </w:rPr>
              <w:t>5L/m</w:t>
            </w:r>
            <w:r>
              <w:rPr>
                <w:position w:val="0"/>
                <w:sz w:val="21"/>
                <w:szCs w:val="21"/>
                <w:vertAlign w:val="superscript"/>
              </w:rPr>
              <w:t>2</w:t>
            </w:r>
            <w:r>
              <w:rPr>
                <w:position w:val="0"/>
                <w:sz w:val="21"/>
                <w:szCs w:val="21"/>
              </w:rPr>
              <w:t>·次</w:t>
            </w:r>
          </w:p>
        </w:tc>
        <w:tc>
          <w:tcPr>
            <w:tcW w:w="50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5000</w:t>
            </w:r>
            <w:r>
              <w:rPr>
                <w:position w:val="0"/>
                <w:sz w:val="21"/>
                <w:szCs w:val="21"/>
              </w:rPr>
              <w:t>m</w:t>
            </w:r>
            <w:r>
              <w:rPr>
                <w:position w:val="0"/>
                <w:sz w:val="21"/>
                <w:szCs w:val="21"/>
                <w:vertAlign w:val="superscript"/>
              </w:rPr>
              <w:t>2</w:t>
            </w:r>
          </w:p>
          <w:p>
            <w:pPr>
              <w:keepNext/>
              <w:keepLines/>
              <w:snapToGrid w:val="0"/>
              <w:spacing w:line="240" w:lineRule="auto"/>
              <w:ind w:firstLine="0" w:firstLineChars="0"/>
              <w:jc w:val="center"/>
              <w:rPr>
                <w:position w:val="0"/>
                <w:sz w:val="21"/>
                <w:szCs w:val="21"/>
              </w:rPr>
            </w:pPr>
            <w:r>
              <w:rPr>
                <w:position w:val="0"/>
                <w:sz w:val="21"/>
                <w:szCs w:val="21"/>
              </w:rPr>
              <w:t>2次/d</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3.5</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752.5</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0</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215天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Merge w:val="restar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合计</w:t>
            </w:r>
          </w:p>
        </w:tc>
        <w:tc>
          <w:tcPr>
            <w:tcW w:w="1203" w:type="pct"/>
            <w:gridSpan w:val="2"/>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采暖期</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11.92</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1788</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9.68</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1452</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150天</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03" w:type="pct"/>
            <w:vMerge w:val="continue"/>
            <w:vAlign w:val="center"/>
          </w:tcPr>
          <w:p>
            <w:pPr>
              <w:keepNext/>
              <w:keepLines/>
              <w:snapToGrid w:val="0"/>
              <w:spacing w:line="240" w:lineRule="auto"/>
              <w:ind w:firstLine="0" w:firstLineChars="0"/>
              <w:jc w:val="center"/>
              <w:rPr>
                <w:position w:val="0"/>
                <w:sz w:val="21"/>
                <w:szCs w:val="21"/>
              </w:rPr>
            </w:pPr>
          </w:p>
        </w:tc>
        <w:tc>
          <w:tcPr>
            <w:tcW w:w="1203" w:type="pct"/>
            <w:gridSpan w:val="2"/>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非采暖期</w:t>
            </w:r>
          </w:p>
        </w:tc>
        <w:tc>
          <w:tcPr>
            <w:tcW w:w="518"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17.84</w:t>
            </w:r>
          </w:p>
        </w:tc>
        <w:tc>
          <w:tcPr>
            <w:tcW w:w="531"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3835.6</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w:t>
            </w:r>
          </w:p>
        </w:tc>
        <w:tc>
          <w:tcPr>
            <w:tcW w:w="515"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9.68</w:t>
            </w:r>
          </w:p>
        </w:tc>
        <w:tc>
          <w:tcPr>
            <w:tcW w:w="529"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2081.2</w:t>
            </w:r>
          </w:p>
        </w:tc>
        <w:tc>
          <w:tcPr>
            <w:tcW w:w="372" w:type="pct"/>
            <w:vAlign w:val="center"/>
          </w:tcPr>
          <w:p>
            <w:pPr>
              <w:keepNext/>
              <w:keepLines/>
              <w:snapToGrid w:val="0"/>
              <w:spacing w:line="240" w:lineRule="auto"/>
              <w:ind w:firstLine="0" w:firstLineChars="0"/>
              <w:jc w:val="center"/>
              <w:rPr>
                <w:position w:val="0"/>
                <w:sz w:val="21"/>
                <w:szCs w:val="21"/>
              </w:rPr>
            </w:pPr>
            <w:r>
              <w:rPr>
                <w:rFonts w:hint="eastAsia"/>
                <w:position w:val="0"/>
                <w:sz w:val="21"/>
                <w:szCs w:val="21"/>
              </w:rPr>
              <w:t>215天</w:t>
            </w:r>
          </w:p>
        </w:tc>
      </w:tr>
    </w:tbl>
    <w:p>
      <w:pPr>
        <w:pStyle w:val="7"/>
        <w:spacing w:line="360" w:lineRule="exact"/>
        <w:rPr>
          <w:color w:val="auto"/>
        </w:rPr>
      </w:pPr>
      <w:r>
        <w:rPr>
          <w:color w:val="auto"/>
        </w:rPr>
        <w:t>表</w:t>
      </w:r>
      <w:r>
        <w:rPr>
          <w:rFonts w:hint="eastAsia"/>
          <w:color w:val="auto"/>
        </w:rPr>
        <w:t>3</w:t>
      </w:r>
      <w:r>
        <w:rPr>
          <w:color w:val="auto"/>
        </w:rPr>
        <w:t xml:space="preserve">    项目用排水</w:t>
      </w:r>
      <w:r>
        <w:rPr>
          <w:rFonts w:hint="eastAsia"/>
          <w:color w:val="auto"/>
        </w:rPr>
        <w:t>情况</w:t>
      </w:r>
      <w:r>
        <w:rPr>
          <w:color w:val="auto"/>
        </w:rPr>
        <w:t>一览表</w:t>
      </w:r>
    </w:p>
    <w:p>
      <w:pPr>
        <w:ind w:firstLine="0" w:firstLineChars="0"/>
        <w:jc w:val="center"/>
        <w:rPr>
          <w:rFonts w:ascii="黑体" w:eastAsia="黑体"/>
        </w:rPr>
      </w:pPr>
      <w:r>
        <w:rPr>
          <w:rFonts w:ascii="黑体" w:eastAsia="黑体"/>
        </w:rPr>
        <w:drawing>
          <wp:anchor distT="0" distB="0" distL="114300" distR="114300" simplePos="0" relativeHeight="251699200" behindDoc="0" locked="0" layoutInCell="1" allowOverlap="1">
            <wp:simplePos x="0" y="0"/>
            <wp:positionH relativeFrom="column">
              <wp:posOffset>815340</wp:posOffset>
            </wp:positionH>
            <wp:positionV relativeFrom="paragraph">
              <wp:posOffset>2465070</wp:posOffset>
            </wp:positionV>
            <wp:extent cx="3686175" cy="228600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cstate="print"/>
                    <a:srcRect t="1893"/>
                    <a:stretch>
                      <a:fillRect/>
                    </a:stretch>
                  </pic:blipFill>
                  <pic:spPr>
                    <a:xfrm>
                      <a:off x="0" y="0"/>
                      <a:ext cx="3686175" cy="2286000"/>
                    </a:xfrm>
                    <a:prstGeom prst="rect">
                      <a:avLst/>
                    </a:prstGeom>
                    <a:noFill/>
                    <a:ln w="9525">
                      <a:noFill/>
                      <a:miter lim="800000"/>
                      <a:headEnd/>
                      <a:tailEnd/>
                    </a:ln>
                  </pic:spPr>
                </pic:pic>
              </a:graphicData>
            </a:graphic>
          </wp:anchor>
        </w:drawing>
      </w: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r>
        <w:rPr>
          <w:rFonts w:ascii="黑体" w:eastAsia="黑体"/>
        </w:rPr>
        <w:drawing>
          <wp:anchor distT="0" distB="0" distL="114300" distR="114300" simplePos="0" relativeHeight="251698176" behindDoc="0" locked="0" layoutInCell="1" allowOverlap="1">
            <wp:simplePos x="0" y="0"/>
            <wp:positionH relativeFrom="column">
              <wp:posOffset>34290</wp:posOffset>
            </wp:positionH>
            <wp:positionV relativeFrom="paragraph">
              <wp:posOffset>41275</wp:posOffset>
            </wp:positionV>
            <wp:extent cx="5260340" cy="2449830"/>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7" cstate="print"/>
                    <a:srcRect/>
                    <a:stretch>
                      <a:fillRect/>
                    </a:stretch>
                  </pic:blipFill>
                  <pic:spPr>
                    <a:xfrm>
                      <a:off x="0" y="0"/>
                      <a:ext cx="5260316" cy="2449902"/>
                    </a:xfrm>
                    <a:prstGeom prst="rect">
                      <a:avLst/>
                    </a:prstGeom>
                    <a:noFill/>
                    <a:ln w="9525">
                      <a:noFill/>
                      <a:miter lim="800000"/>
                      <a:headEnd/>
                      <a:tailEnd/>
                    </a:ln>
                  </pic:spPr>
                </pic:pic>
              </a:graphicData>
            </a:graphic>
          </wp:anchor>
        </w:drawing>
      </w: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ind w:firstLine="0" w:firstLineChars="0"/>
        <w:jc w:val="center"/>
        <w:rPr>
          <w:rFonts w:ascii="黑体" w:eastAsia="黑体"/>
        </w:rPr>
      </w:pPr>
    </w:p>
    <w:p>
      <w:pPr>
        <w:pStyle w:val="5"/>
        <w:ind w:firstLine="480"/>
      </w:pPr>
      <w:r>
        <w:rPr>
          <w:rFonts w:hint="eastAsia"/>
        </w:rPr>
        <w:t>7.2</w:t>
      </w:r>
      <w:r>
        <w:t>供电</w:t>
      </w:r>
    </w:p>
    <w:p>
      <w:pPr>
        <w:tabs>
          <w:tab w:val="right" w:leader="dot" w:pos="9240"/>
        </w:tabs>
        <w:ind w:firstLine="480"/>
      </w:pPr>
      <w:r>
        <w:rPr>
          <w:rFonts w:hint="eastAsia"/>
        </w:rPr>
        <w:t>本项目供电与台怀镇电力供应主干线相接，项目配备220/380V配电室一座，总用电负荷280KW，包含采暖用电负荷，采用两路独立的10kV电源，可以满足项目用电需求。</w:t>
      </w:r>
    </w:p>
    <w:p>
      <w:pPr>
        <w:pStyle w:val="5"/>
        <w:ind w:firstLine="480"/>
      </w:pPr>
      <w:r>
        <w:rPr>
          <w:rFonts w:hint="eastAsia"/>
        </w:rPr>
        <w:t>7.3供暖</w:t>
      </w:r>
    </w:p>
    <w:p>
      <w:pPr>
        <w:tabs>
          <w:tab w:val="right" w:leader="dot" w:pos="9240"/>
        </w:tabs>
        <w:ind w:firstLine="480"/>
      </w:pPr>
      <w:r>
        <w:rPr>
          <w:rFonts w:hint="eastAsia"/>
        </w:rPr>
        <w:t>本项目采暖建筑包括：工作站、会议室、住宿楼、宿舍楼、食堂、洗衣房、门卫等，采暖面积共3998.7</w:t>
      </w:r>
      <w:r>
        <w:t>m</w:t>
      </w:r>
      <w:r>
        <w:rPr>
          <w:vertAlign w:val="superscript"/>
        </w:rPr>
        <w:t>2</w:t>
      </w:r>
      <w:r>
        <w:rPr>
          <w:rFonts w:hint="eastAsia"/>
        </w:rPr>
        <w:t>，其中住宿楼、宿舍楼、食堂采暖热指标按55W/m</w:t>
      </w:r>
      <w:r>
        <w:rPr>
          <w:rFonts w:hint="eastAsia"/>
          <w:vertAlign w:val="superscript"/>
        </w:rPr>
        <w:t>2</w:t>
      </w:r>
      <w:r>
        <w:rPr>
          <w:rFonts w:hint="eastAsia"/>
        </w:rPr>
        <w:t>，其余建筑采暖热指标按50W/m</w:t>
      </w:r>
      <w:r>
        <w:rPr>
          <w:rFonts w:hint="eastAsia"/>
          <w:vertAlign w:val="superscript"/>
        </w:rPr>
        <w:t>2</w:t>
      </w:r>
      <w:r>
        <w:rPr>
          <w:rFonts w:hint="eastAsia"/>
        </w:rPr>
        <w:t>，经计算，供热总负荷约211KW，目前该区域没有集中供热条件，本项目拟使用电采暖，采暖方式采用空气源热泵，对各采暖单元单独设置采暖系统</w:t>
      </w:r>
      <w:r>
        <w:t>。</w:t>
      </w:r>
      <w:r>
        <w:rPr>
          <w:rFonts w:hint="eastAsia"/>
        </w:rPr>
        <w:t>经现场勘查，项目区遗留有原有燃煤锅炉一台尚未拆除，因此，应限期对其进行拆除。</w:t>
      </w:r>
    </w:p>
    <w:p>
      <w:pPr>
        <w:pStyle w:val="5"/>
        <w:ind w:firstLine="480"/>
      </w:pPr>
      <w:r>
        <w:rPr>
          <w:rFonts w:hint="eastAsia"/>
        </w:rPr>
        <w:t>7.4供气</w:t>
      </w:r>
    </w:p>
    <w:p>
      <w:pPr>
        <w:tabs>
          <w:tab w:val="right" w:leader="dot" w:pos="9240"/>
        </w:tabs>
        <w:ind w:firstLine="480"/>
      </w:pPr>
      <w:r>
        <w:rPr>
          <w:rFonts w:hint="eastAsia"/>
        </w:rPr>
        <w:t>项目食堂燃用管道天然气，气源为丁香-五台天然气输送管线石咀分输站，通过中压燃气管道接入项目区东南角的调压器，转换为低压后接入食堂低压燃气管道，食堂年用天然气量为1500m</w:t>
      </w:r>
      <w:r>
        <w:rPr>
          <w:rFonts w:hint="eastAsia"/>
          <w:vertAlign w:val="superscript"/>
        </w:rPr>
        <w:t>3</w:t>
      </w:r>
      <w:r>
        <w:rPr>
          <w:rFonts w:hint="eastAsia"/>
        </w:rPr>
        <w:t>/a</w:t>
      </w:r>
      <w:r>
        <w:t>。</w:t>
      </w:r>
    </w:p>
    <w:p>
      <w:pPr>
        <w:pStyle w:val="3"/>
        <w:ind w:firstLine="480"/>
      </w:pPr>
      <w:r>
        <w:rPr>
          <w:rFonts w:hint="eastAsia"/>
        </w:rPr>
        <w:t>8、</w:t>
      </w:r>
      <w:r>
        <w:t>项目主要技术经济指标</w:t>
      </w:r>
    </w:p>
    <w:p>
      <w:pPr>
        <w:ind w:firstLine="480"/>
      </w:pPr>
      <w:r>
        <w:t>本项目主要技术经济指标见表</w:t>
      </w:r>
      <w:r>
        <w:rPr>
          <w:rFonts w:hint="eastAsia"/>
        </w:rPr>
        <w:t>4</w:t>
      </w:r>
      <w:r>
        <w:t>。</w:t>
      </w:r>
    </w:p>
    <w:p>
      <w:pPr>
        <w:pStyle w:val="7"/>
        <w:spacing w:beforeLines="50" w:line="400" w:lineRule="exact"/>
        <w:rPr>
          <w:color w:val="auto"/>
        </w:rPr>
      </w:pPr>
      <w:r>
        <w:rPr>
          <w:color w:val="auto"/>
        </w:rPr>
        <w:t>表</w:t>
      </w:r>
      <w:r>
        <w:rPr>
          <w:rFonts w:hint="eastAsia"/>
          <w:color w:val="auto"/>
        </w:rPr>
        <w:t>4</w:t>
      </w:r>
      <w:r>
        <w:rPr>
          <w:color w:val="auto"/>
        </w:rPr>
        <w:t xml:space="preserve">   </w:t>
      </w:r>
      <w:r>
        <w:rPr>
          <w:rFonts w:hint="eastAsia"/>
          <w:color w:val="auto"/>
        </w:rPr>
        <w:t>项目</w:t>
      </w:r>
      <w:r>
        <w:rPr>
          <w:color w:val="auto"/>
        </w:rPr>
        <w:t>主要技术经济指标</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414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编号</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项目</w:t>
            </w:r>
          </w:p>
        </w:tc>
        <w:tc>
          <w:tcPr>
            <w:tcW w:w="1831" w:type="pct"/>
            <w:vAlign w:val="center"/>
          </w:tcPr>
          <w:p>
            <w:pPr>
              <w:keepNext/>
              <w:keepLines/>
              <w:spacing w:line="240" w:lineRule="auto"/>
              <w:ind w:firstLine="0" w:firstLineChars="0"/>
              <w:jc w:val="center"/>
              <w:rPr>
                <w:position w:val="0"/>
                <w:sz w:val="21"/>
                <w:szCs w:val="21"/>
              </w:rPr>
            </w:pPr>
            <w:r>
              <w:rPr>
                <w:position w:val="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1</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总占地面积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13847.39</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2</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总建筑面积</w:t>
            </w:r>
          </w:p>
        </w:tc>
        <w:tc>
          <w:tcPr>
            <w:tcW w:w="1831" w:type="pct"/>
            <w:vAlign w:val="center"/>
          </w:tcPr>
          <w:p>
            <w:pPr>
              <w:keepNext/>
              <w:keepLines/>
              <w:spacing w:line="240" w:lineRule="auto"/>
              <w:ind w:firstLine="0" w:firstLineChars="0"/>
              <w:jc w:val="center"/>
              <w:rPr>
                <w:b/>
                <w:position w:val="0"/>
                <w:sz w:val="21"/>
                <w:szCs w:val="21"/>
              </w:rPr>
            </w:pPr>
            <w:r>
              <w:rPr>
                <w:rFonts w:hint="eastAsia"/>
                <w:position w:val="0"/>
                <w:sz w:val="21"/>
                <w:szCs w:val="21"/>
              </w:rPr>
              <w:t>4168.4</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2.1</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工作站</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538.2</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2.2</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食堂</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513</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2.3</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住宿楼</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1206</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2.4</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会议室</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288</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2.5</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宿舍楼</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489.6</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2.6</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其他用房</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1133.6</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3</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建筑密度</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25</w:t>
            </w:r>
            <w:r>
              <w:rPr>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rFonts w:hint="eastAsia"/>
                <w:position w:val="0"/>
                <w:sz w:val="21"/>
                <w:szCs w:val="21"/>
              </w:rPr>
              <w:t>4</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容积率</w:t>
            </w:r>
          </w:p>
        </w:tc>
        <w:tc>
          <w:tcPr>
            <w:tcW w:w="1831" w:type="pct"/>
            <w:vAlign w:val="center"/>
          </w:tcPr>
          <w:p>
            <w:pPr>
              <w:keepNext/>
              <w:keepLines/>
              <w:spacing w:line="240" w:lineRule="auto"/>
              <w:ind w:firstLine="0" w:firstLineChars="0"/>
              <w:jc w:val="center"/>
              <w:rPr>
                <w:position w:val="0"/>
                <w:sz w:val="21"/>
                <w:szCs w:val="21"/>
              </w:rPr>
            </w:pPr>
            <w:r>
              <w:rPr>
                <w:position w:val="0"/>
                <w:sz w:val="21"/>
                <w:szCs w:val="21"/>
              </w:rPr>
              <w:t>0.</w:t>
            </w:r>
            <w:r>
              <w:rPr>
                <w:rFonts w:hint="eastAsia"/>
                <w:positio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5</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绿地面积</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4327.3</w:t>
            </w:r>
            <w:r>
              <w:rPr>
                <w:position w:val="0"/>
                <w:sz w:val="21"/>
                <w:szCs w:val="21"/>
              </w:rPr>
              <w:t>m</w:t>
            </w:r>
            <w:r>
              <w:rPr>
                <w:positio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6</w:t>
            </w:r>
          </w:p>
        </w:tc>
        <w:tc>
          <w:tcPr>
            <w:tcW w:w="2374" w:type="pct"/>
            <w:vAlign w:val="center"/>
          </w:tcPr>
          <w:p>
            <w:pPr>
              <w:keepNext/>
              <w:keepLines/>
              <w:spacing w:line="240" w:lineRule="auto"/>
              <w:ind w:firstLine="0" w:firstLineChars="0"/>
              <w:jc w:val="center"/>
              <w:rPr>
                <w:position w:val="0"/>
                <w:sz w:val="21"/>
                <w:szCs w:val="21"/>
              </w:rPr>
            </w:pPr>
            <w:r>
              <w:rPr>
                <w:position w:val="0"/>
                <w:sz w:val="21"/>
                <w:szCs w:val="21"/>
              </w:rPr>
              <w:t>绿地率</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31.25</w:t>
            </w:r>
            <w:r>
              <w:rPr>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95" w:type="pct"/>
            <w:vAlign w:val="center"/>
          </w:tcPr>
          <w:p>
            <w:pPr>
              <w:keepNext/>
              <w:keepLines/>
              <w:spacing w:line="240" w:lineRule="auto"/>
              <w:ind w:firstLine="0" w:firstLineChars="0"/>
              <w:jc w:val="center"/>
              <w:rPr>
                <w:position w:val="0"/>
                <w:sz w:val="21"/>
                <w:szCs w:val="21"/>
              </w:rPr>
            </w:pPr>
            <w:r>
              <w:rPr>
                <w:position w:val="0"/>
                <w:sz w:val="21"/>
                <w:szCs w:val="21"/>
              </w:rPr>
              <w:t>7</w:t>
            </w:r>
          </w:p>
        </w:tc>
        <w:tc>
          <w:tcPr>
            <w:tcW w:w="2374" w:type="pct"/>
            <w:vAlign w:val="center"/>
          </w:tcPr>
          <w:p>
            <w:pPr>
              <w:keepNext/>
              <w:keepLines/>
              <w:spacing w:line="240" w:lineRule="auto"/>
              <w:ind w:firstLine="0" w:firstLineChars="0"/>
              <w:jc w:val="center"/>
              <w:rPr>
                <w:position w:val="0"/>
                <w:sz w:val="21"/>
                <w:szCs w:val="21"/>
              </w:rPr>
            </w:pPr>
            <w:r>
              <w:rPr>
                <w:rFonts w:hint="eastAsia"/>
                <w:position w:val="0"/>
                <w:sz w:val="21"/>
                <w:szCs w:val="21"/>
              </w:rPr>
              <w:t>停车位</w:t>
            </w:r>
          </w:p>
        </w:tc>
        <w:tc>
          <w:tcPr>
            <w:tcW w:w="1831" w:type="pct"/>
            <w:vAlign w:val="center"/>
          </w:tcPr>
          <w:p>
            <w:pPr>
              <w:keepNext/>
              <w:keepLines/>
              <w:spacing w:line="240" w:lineRule="auto"/>
              <w:ind w:firstLine="0" w:firstLineChars="0"/>
              <w:jc w:val="center"/>
              <w:rPr>
                <w:position w:val="0"/>
                <w:sz w:val="21"/>
                <w:szCs w:val="21"/>
              </w:rPr>
            </w:pPr>
            <w:r>
              <w:rPr>
                <w:rFonts w:hint="eastAsia"/>
                <w:position w:val="0"/>
                <w:sz w:val="21"/>
                <w:szCs w:val="21"/>
              </w:rPr>
              <w:t>12个</w:t>
            </w:r>
          </w:p>
        </w:tc>
      </w:tr>
    </w:tbl>
    <w:p>
      <w:pPr>
        <w:pStyle w:val="3"/>
        <w:spacing w:beforeLines="50"/>
        <w:ind w:firstLine="480"/>
      </w:pPr>
      <w:r>
        <w:rPr>
          <w:rFonts w:hint="eastAsia"/>
        </w:rPr>
        <w:t>9、环保投资</w:t>
      </w:r>
    </w:p>
    <w:p>
      <w:pPr>
        <w:spacing w:line="480" w:lineRule="exact"/>
        <w:ind w:firstLine="480"/>
      </w:pPr>
      <w:r>
        <w:rPr>
          <w:rFonts w:hint="eastAsia"/>
        </w:rPr>
        <w:t xml:space="preserve">本项目总投资966.7万元，其中环保投资为56万元，占总投资的5.79%。本项目环境保护措施投资情况见下表5。 </w:t>
      </w:r>
    </w:p>
    <w:p>
      <w:pPr>
        <w:pStyle w:val="7"/>
        <w:spacing w:beforeLines="50" w:line="400" w:lineRule="exact"/>
        <w:rPr>
          <w:color w:val="auto"/>
        </w:rPr>
      </w:pPr>
      <w:r>
        <w:rPr>
          <w:color w:val="auto"/>
        </w:rPr>
        <w:t>表</w:t>
      </w:r>
      <w:r>
        <w:rPr>
          <w:rFonts w:hint="eastAsia"/>
          <w:color w:val="auto"/>
        </w:rPr>
        <w:t xml:space="preserve">5    </w:t>
      </w:r>
      <w:r>
        <w:rPr>
          <w:color w:val="auto"/>
        </w:rPr>
        <w:t>环境保护措施投资估算</w:t>
      </w:r>
      <w:r>
        <w:rPr>
          <w:rFonts w:hint="eastAsia"/>
          <w:color w:val="auto"/>
        </w:rPr>
        <w:t>一览</w:t>
      </w:r>
      <w:r>
        <w:rPr>
          <w:color w:val="auto"/>
        </w:rPr>
        <w:t>表</w:t>
      </w:r>
    </w:p>
    <w:tbl>
      <w:tblPr>
        <w:tblStyle w:val="49"/>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10"/>
        <w:gridCol w:w="1509"/>
        <w:gridCol w:w="5059"/>
        <w:gridCol w:w="1142"/>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sz w:val="21"/>
                <w:szCs w:val="21"/>
              </w:rPr>
              <w:t>类别</w:t>
            </w:r>
          </w:p>
        </w:tc>
        <w:tc>
          <w:tcPr>
            <w:tcW w:w="865" w:type="pct"/>
            <w:vAlign w:val="center"/>
          </w:tcPr>
          <w:p>
            <w:pPr>
              <w:keepNext/>
              <w:keepLines/>
              <w:snapToGrid w:val="0"/>
              <w:spacing w:line="240" w:lineRule="atLeast"/>
              <w:ind w:firstLine="23" w:firstLineChars="11"/>
              <w:jc w:val="center"/>
              <w:rPr>
                <w:sz w:val="21"/>
                <w:szCs w:val="21"/>
              </w:rPr>
            </w:pPr>
            <w:r>
              <w:rPr>
                <w:sz w:val="21"/>
                <w:szCs w:val="21"/>
              </w:rPr>
              <w:t>污染源</w:t>
            </w:r>
          </w:p>
        </w:tc>
        <w:tc>
          <w:tcPr>
            <w:tcW w:w="2901" w:type="pct"/>
            <w:vAlign w:val="center"/>
          </w:tcPr>
          <w:p>
            <w:pPr>
              <w:keepNext/>
              <w:keepLines/>
              <w:snapToGrid w:val="0"/>
              <w:spacing w:line="240" w:lineRule="atLeast"/>
              <w:ind w:firstLine="23" w:firstLineChars="11"/>
              <w:jc w:val="center"/>
              <w:rPr>
                <w:sz w:val="21"/>
                <w:szCs w:val="21"/>
              </w:rPr>
            </w:pPr>
            <w:r>
              <w:rPr>
                <w:sz w:val="21"/>
                <w:szCs w:val="21"/>
              </w:rPr>
              <w:t>环评规定的环保措施</w:t>
            </w:r>
          </w:p>
        </w:tc>
        <w:tc>
          <w:tcPr>
            <w:tcW w:w="655" w:type="pct"/>
            <w:vAlign w:val="center"/>
          </w:tcPr>
          <w:p>
            <w:pPr>
              <w:keepNext/>
              <w:keepLines/>
              <w:snapToGrid w:val="0"/>
              <w:spacing w:line="240" w:lineRule="atLeast"/>
              <w:ind w:firstLine="23" w:firstLineChars="11"/>
              <w:jc w:val="center"/>
              <w:rPr>
                <w:sz w:val="21"/>
                <w:szCs w:val="21"/>
              </w:rPr>
            </w:pPr>
            <w:r>
              <w:rPr>
                <w:sz w:val="21"/>
                <w:szCs w:val="21"/>
              </w:rPr>
              <w:t>投资</w:t>
            </w:r>
          </w:p>
          <w:p>
            <w:pPr>
              <w:keepNext/>
              <w:keepLines/>
              <w:snapToGrid w:val="0"/>
              <w:spacing w:line="240" w:lineRule="atLeast"/>
              <w:ind w:firstLine="23" w:firstLineChars="11"/>
              <w:jc w:val="center"/>
              <w:rPr>
                <w:sz w:val="21"/>
                <w:szCs w:val="21"/>
              </w:rPr>
            </w:pPr>
            <w:r>
              <w:rPr>
                <w:sz w:val="21"/>
                <w:szCs w:val="21"/>
              </w:rPr>
              <w:t>（万元）</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rFonts w:hint="eastAsia"/>
                <w:sz w:val="21"/>
                <w:szCs w:val="21"/>
              </w:rPr>
              <w:t>废气</w:t>
            </w:r>
          </w:p>
        </w:tc>
        <w:tc>
          <w:tcPr>
            <w:tcW w:w="865" w:type="pct"/>
            <w:vAlign w:val="center"/>
          </w:tcPr>
          <w:p>
            <w:pPr>
              <w:keepNext/>
              <w:keepLines/>
              <w:snapToGrid w:val="0"/>
              <w:spacing w:line="240" w:lineRule="atLeast"/>
              <w:ind w:firstLine="23" w:firstLineChars="11"/>
              <w:jc w:val="center"/>
              <w:rPr>
                <w:sz w:val="21"/>
                <w:szCs w:val="21"/>
              </w:rPr>
            </w:pPr>
            <w:r>
              <w:rPr>
                <w:rFonts w:hint="eastAsia"/>
                <w:sz w:val="21"/>
                <w:szCs w:val="21"/>
              </w:rPr>
              <w:t>油烟废气</w:t>
            </w:r>
          </w:p>
        </w:tc>
        <w:tc>
          <w:tcPr>
            <w:tcW w:w="2901" w:type="pct"/>
            <w:vAlign w:val="center"/>
          </w:tcPr>
          <w:p>
            <w:pPr>
              <w:keepNext/>
              <w:keepLines/>
              <w:snapToGrid w:val="0"/>
              <w:spacing w:line="240" w:lineRule="atLeast"/>
              <w:ind w:firstLine="23" w:firstLineChars="11"/>
              <w:jc w:val="center"/>
              <w:rPr>
                <w:sz w:val="21"/>
                <w:szCs w:val="21"/>
              </w:rPr>
            </w:pPr>
            <w:r>
              <w:rPr>
                <w:rFonts w:hint="eastAsia"/>
                <w:sz w:val="21"/>
                <w:szCs w:val="21"/>
              </w:rPr>
              <w:t>在食堂灶台上方设置集气罩，油烟集气罩投影面积应大于灶台面，设一套高效复合油烟净化器，处理风量约为4000m</w:t>
            </w:r>
            <w:r>
              <w:rPr>
                <w:rFonts w:hint="eastAsia"/>
                <w:sz w:val="21"/>
                <w:szCs w:val="21"/>
                <w:vertAlign w:val="superscript"/>
              </w:rPr>
              <w:t>3</w:t>
            </w:r>
            <w:r>
              <w:rPr>
                <w:rFonts w:hint="eastAsia"/>
                <w:sz w:val="21"/>
                <w:szCs w:val="21"/>
              </w:rPr>
              <w:t>/h，处理效率达到80%</w:t>
            </w:r>
          </w:p>
        </w:tc>
        <w:tc>
          <w:tcPr>
            <w:tcW w:w="655" w:type="pct"/>
            <w:vAlign w:val="center"/>
          </w:tcPr>
          <w:p>
            <w:pPr>
              <w:keepNext/>
              <w:keepLines/>
              <w:snapToGrid w:val="0"/>
              <w:spacing w:line="240" w:lineRule="atLeast"/>
              <w:ind w:firstLine="23" w:firstLineChars="11"/>
              <w:jc w:val="center"/>
              <w:rPr>
                <w:sz w:val="21"/>
                <w:szCs w:val="21"/>
              </w:rPr>
            </w:pPr>
            <w:r>
              <w:rPr>
                <w:rFonts w:hint="eastAsia"/>
                <w:sz w:val="21"/>
                <w:szCs w:val="21"/>
              </w:rPr>
              <w:t>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rFonts w:hint="eastAsia"/>
                <w:sz w:val="21"/>
                <w:szCs w:val="21"/>
              </w:rPr>
              <w:t>废水</w:t>
            </w:r>
          </w:p>
        </w:tc>
        <w:tc>
          <w:tcPr>
            <w:tcW w:w="865" w:type="pct"/>
            <w:vAlign w:val="center"/>
          </w:tcPr>
          <w:p>
            <w:pPr>
              <w:keepNext/>
              <w:keepLines/>
              <w:snapToGrid w:val="0"/>
              <w:spacing w:line="240" w:lineRule="atLeast"/>
              <w:ind w:firstLine="23" w:firstLineChars="11"/>
              <w:jc w:val="center"/>
              <w:rPr>
                <w:sz w:val="21"/>
                <w:szCs w:val="21"/>
              </w:rPr>
            </w:pPr>
            <w:r>
              <w:rPr>
                <w:rFonts w:hint="eastAsia"/>
                <w:sz w:val="21"/>
                <w:szCs w:val="21"/>
              </w:rPr>
              <w:t>食堂废水</w:t>
            </w:r>
          </w:p>
          <w:p>
            <w:pPr>
              <w:keepNext/>
              <w:keepLines/>
              <w:snapToGrid w:val="0"/>
              <w:spacing w:line="240" w:lineRule="atLeast"/>
              <w:ind w:firstLine="23" w:firstLineChars="11"/>
              <w:jc w:val="center"/>
              <w:rPr>
                <w:sz w:val="21"/>
                <w:szCs w:val="21"/>
              </w:rPr>
            </w:pPr>
            <w:r>
              <w:rPr>
                <w:rFonts w:hint="eastAsia"/>
                <w:sz w:val="21"/>
                <w:szCs w:val="21"/>
              </w:rPr>
              <w:t>生活污水</w:t>
            </w:r>
          </w:p>
        </w:tc>
        <w:tc>
          <w:tcPr>
            <w:tcW w:w="2901" w:type="pct"/>
            <w:vAlign w:val="center"/>
          </w:tcPr>
          <w:p>
            <w:pPr>
              <w:keepNext/>
              <w:keepLines/>
              <w:snapToGrid w:val="0"/>
              <w:spacing w:line="240" w:lineRule="atLeast"/>
              <w:ind w:firstLine="23" w:firstLineChars="11"/>
              <w:jc w:val="center"/>
              <w:rPr>
                <w:sz w:val="21"/>
                <w:szCs w:val="21"/>
              </w:rPr>
            </w:pPr>
            <w:r>
              <w:rPr>
                <w:rFonts w:hint="eastAsia"/>
                <w:position w:val="0"/>
                <w:sz w:val="21"/>
                <w:szCs w:val="21"/>
              </w:rPr>
              <w:t>食堂废水经隔油池（1m</w:t>
            </w:r>
            <w:r>
              <w:rPr>
                <w:rFonts w:hint="eastAsia"/>
                <w:position w:val="0"/>
                <w:sz w:val="21"/>
                <w:szCs w:val="21"/>
                <w:vertAlign w:val="superscript"/>
              </w:rPr>
              <w:t>3</w:t>
            </w:r>
            <w:r>
              <w:rPr>
                <w:rFonts w:hint="eastAsia"/>
                <w:position w:val="0"/>
                <w:sz w:val="21"/>
                <w:szCs w:val="21"/>
              </w:rPr>
              <w:t>）隔油后与生活污水一起排入化粪池（200m</w:t>
            </w:r>
            <w:r>
              <w:rPr>
                <w:rFonts w:hint="eastAsia"/>
                <w:position w:val="0"/>
                <w:sz w:val="21"/>
                <w:szCs w:val="21"/>
                <w:vertAlign w:val="superscript"/>
              </w:rPr>
              <w:t>3</w:t>
            </w:r>
            <w:r>
              <w:rPr>
                <w:rFonts w:hint="eastAsia"/>
                <w:position w:val="0"/>
                <w:sz w:val="21"/>
                <w:szCs w:val="21"/>
              </w:rPr>
              <w:t>）预处理，然后由污水罐车定期送至五台山杨柏峪污水处理厂</w:t>
            </w:r>
          </w:p>
        </w:tc>
        <w:tc>
          <w:tcPr>
            <w:tcW w:w="655" w:type="pct"/>
            <w:vAlign w:val="center"/>
          </w:tcPr>
          <w:p>
            <w:pPr>
              <w:keepNext/>
              <w:keepLines/>
              <w:snapToGrid w:val="0"/>
              <w:spacing w:line="240" w:lineRule="atLeast"/>
              <w:ind w:firstLine="23" w:firstLineChars="11"/>
              <w:jc w:val="center"/>
              <w:rPr>
                <w:sz w:val="21"/>
                <w:szCs w:val="21"/>
              </w:rPr>
            </w:pPr>
            <w:r>
              <w:rPr>
                <w:rFonts w:hint="eastAsia"/>
                <w:sz w:val="21"/>
                <w:szCs w:val="21"/>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Merge w:val="restart"/>
            <w:vAlign w:val="center"/>
          </w:tcPr>
          <w:p>
            <w:pPr>
              <w:keepNext/>
              <w:keepLines/>
              <w:snapToGrid w:val="0"/>
              <w:spacing w:line="240" w:lineRule="atLeast"/>
              <w:ind w:firstLine="23" w:firstLineChars="11"/>
              <w:jc w:val="center"/>
              <w:rPr>
                <w:sz w:val="21"/>
                <w:szCs w:val="21"/>
              </w:rPr>
            </w:pPr>
            <w:r>
              <w:rPr>
                <w:sz w:val="21"/>
                <w:szCs w:val="21"/>
              </w:rPr>
              <w:t>固体</w:t>
            </w:r>
          </w:p>
          <w:p>
            <w:pPr>
              <w:keepNext/>
              <w:keepLines/>
              <w:snapToGrid w:val="0"/>
              <w:spacing w:line="240" w:lineRule="atLeast"/>
              <w:ind w:firstLine="23" w:firstLineChars="11"/>
              <w:jc w:val="center"/>
              <w:rPr>
                <w:sz w:val="21"/>
                <w:szCs w:val="21"/>
              </w:rPr>
            </w:pPr>
            <w:r>
              <w:rPr>
                <w:sz w:val="21"/>
                <w:szCs w:val="21"/>
              </w:rPr>
              <w:t>废物</w:t>
            </w:r>
          </w:p>
        </w:tc>
        <w:tc>
          <w:tcPr>
            <w:tcW w:w="865" w:type="pct"/>
            <w:vAlign w:val="center"/>
          </w:tcPr>
          <w:p>
            <w:pPr>
              <w:keepNext/>
              <w:keepLines/>
              <w:snapToGrid w:val="0"/>
              <w:spacing w:line="240" w:lineRule="atLeast"/>
              <w:ind w:firstLine="23" w:firstLineChars="11"/>
              <w:jc w:val="center"/>
              <w:rPr>
                <w:sz w:val="21"/>
                <w:szCs w:val="21"/>
              </w:rPr>
            </w:pPr>
            <w:r>
              <w:rPr>
                <w:rFonts w:hint="eastAsia"/>
                <w:sz w:val="21"/>
                <w:szCs w:val="21"/>
              </w:rPr>
              <w:t>生活垃圾</w:t>
            </w:r>
          </w:p>
        </w:tc>
        <w:tc>
          <w:tcPr>
            <w:tcW w:w="2901" w:type="pct"/>
            <w:vAlign w:val="center"/>
          </w:tcPr>
          <w:p>
            <w:pPr>
              <w:keepNext/>
              <w:keepLines/>
              <w:snapToGrid w:val="0"/>
              <w:spacing w:line="240" w:lineRule="atLeast"/>
              <w:ind w:firstLine="23" w:firstLineChars="11"/>
              <w:jc w:val="center"/>
              <w:rPr>
                <w:sz w:val="21"/>
                <w:szCs w:val="21"/>
              </w:rPr>
            </w:pPr>
            <w:r>
              <w:rPr>
                <w:sz w:val="21"/>
                <w:szCs w:val="21"/>
              </w:rPr>
              <w:t>设</w:t>
            </w:r>
            <w:r>
              <w:rPr>
                <w:rFonts w:hint="eastAsia"/>
                <w:sz w:val="21"/>
                <w:szCs w:val="21"/>
              </w:rPr>
              <w:t>15个</w:t>
            </w:r>
            <w:r>
              <w:rPr>
                <w:sz w:val="21"/>
                <w:szCs w:val="21"/>
              </w:rPr>
              <w:t>垃圾箱收集，</w:t>
            </w:r>
            <w:r>
              <w:rPr>
                <w:rFonts w:hint="eastAsia"/>
                <w:sz w:val="21"/>
                <w:szCs w:val="21"/>
              </w:rPr>
              <w:t>由景区环卫部门统一处置</w:t>
            </w:r>
          </w:p>
        </w:tc>
        <w:tc>
          <w:tcPr>
            <w:tcW w:w="655" w:type="pct"/>
            <w:vMerge w:val="restart"/>
            <w:vAlign w:val="center"/>
          </w:tcPr>
          <w:p>
            <w:pPr>
              <w:keepNext/>
              <w:keepLines/>
              <w:snapToGrid w:val="0"/>
              <w:spacing w:line="240" w:lineRule="atLeast"/>
              <w:ind w:firstLine="23" w:firstLineChars="11"/>
              <w:jc w:val="center"/>
              <w:rPr>
                <w:sz w:val="21"/>
                <w:szCs w:val="21"/>
              </w:rPr>
            </w:pPr>
            <w:r>
              <w:rPr>
                <w:rFonts w:hint="eastAsia"/>
                <w:sz w:val="21"/>
                <w:szCs w:val="21"/>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Merge w:val="continue"/>
            <w:vAlign w:val="center"/>
          </w:tcPr>
          <w:p>
            <w:pPr>
              <w:keepNext/>
              <w:keepLines/>
              <w:snapToGrid w:val="0"/>
              <w:spacing w:line="240" w:lineRule="atLeast"/>
              <w:ind w:firstLine="23" w:firstLineChars="11"/>
              <w:jc w:val="center"/>
              <w:rPr>
                <w:sz w:val="21"/>
                <w:szCs w:val="21"/>
              </w:rPr>
            </w:pPr>
          </w:p>
        </w:tc>
        <w:tc>
          <w:tcPr>
            <w:tcW w:w="865" w:type="pct"/>
            <w:vAlign w:val="center"/>
          </w:tcPr>
          <w:p>
            <w:pPr>
              <w:keepNext/>
              <w:keepLines/>
              <w:snapToGrid w:val="0"/>
              <w:spacing w:line="240" w:lineRule="atLeast"/>
              <w:ind w:firstLine="23" w:firstLineChars="11"/>
              <w:jc w:val="center"/>
              <w:rPr>
                <w:sz w:val="21"/>
                <w:szCs w:val="21"/>
              </w:rPr>
            </w:pPr>
            <w:r>
              <w:rPr>
                <w:rFonts w:hint="eastAsia"/>
                <w:sz w:val="21"/>
                <w:szCs w:val="21"/>
              </w:rPr>
              <w:t>餐厨垃圾</w:t>
            </w:r>
          </w:p>
        </w:tc>
        <w:tc>
          <w:tcPr>
            <w:tcW w:w="2901" w:type="pct"/>
            <w:vAlign w:val="center"/>
          </w:tcPr>
          <w:p>
            <w:pPr>
              <w:keepNext/>
              <w:keepLines/>
              <w:snapToGrid w:val="0"/>
              <w:spacing w:line="240" w:lineRule="atLeast"/>
              <w:ind w:firstLine="23" w:firstLineChars="11"/>
              <w:jc w:val="center"/>
              <w:rPr>
                <w:sz w:val="21"/>
                <w:szCs w:val="21"/>
              </w:rPr>
            </w:pPr>
            <w:r>
              <w:rPr>
                <w:rFonts w:hint="eastAsia"/>
                <w:sz w:val="21"/>
                <w:szCs w:val="21"/>
              </w:rPr>
              <w:t>设1个密闭专用塑料桶用于收集餐厨垃圾，由景区环卫部门统一处置</w:t>
            </w:r>
          </w:p>
        </w:tc>
        <w:tc>
          <w:tcPr>
            <w:tcW w:w="655" w:type="pct"/>
            <w:vMerge w:val="continue"/>
            <w:vAlign w:val="center"/>
          </w:tcPr>
          <w:p>
            <w:pPr>
              <w:keepNext/>
              <w:keepLines/>
              <w:snapToGrid w:val="0"/>
              <w:spacing w:line="240" w:lineRule="atLeast"/>
              <w:ind w:firstLine="23" w:firstLineChars="11"/>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Merge w:val="restart"/>
            <w:vAlign w:val="center"/>
          </w:tcPr>
          <w:p>
            <w:pPr>
              <w:keepNext/>
              <w:keepLines/>
              <w:snapToGrid w:val="0"/>
              <w:spacing w:line="240" w:lineRule="atLeast"/>
              <w:ind w:firstLine="23" w:firstLineChars="11"/>
              <w:jc w:val="center"/>
              <w:rPr>
                <w:sz w:val="21"/>
                <w:szCs w:val="21"/>
              </w:rPr>
            </w:pPr>
            <w:r>
              <w:rPr>
                <w:sz w:val="21"/>
                <w:szCs w:val="21"/>
              </w:rPr>
              <w:t>噪声</w:t>
            </w:r>
          </w:p>
        </w:tc>
        <w:tc>
          <w:tcPr>
            <w:tcW w:w="865" w:type="pct"/>
            <w:vAlign w:val="center"/>
          </w:tcPr>
          <w:p>
            <w:pPr>
              <w:keepNext/>
              <w:keepLines/>
              <w:snapToGrid w:val="0"/>
              <w:spacing w:line="240" w:lineRule="atLeast"/>
              <w:ind w:firstLine="23" w:firstLineChars="11"/>
              <w:jc w:val="center"/>
              <w:rPr>
                <w:sz w:val="21"/>
                <w:szCs w:val="21"/>
              </w:rPr>
            </w:pPr>
            <w:r>
              <w:rPr>
                <w:rFonts w:hint="eastAsia"/>
                <w:sz w:val="21"/>
                <w:szCs w:val="21"/>
              </w:rPr>
              <w:t>设备噪声</w:t>
            </w:r>
          </w:p>
        </w:tc>
        <w:tc>
          <w:tcPr>
            <w:tcW w:w="2901" w:type="pct"/>
            <w:vAlign w:val="center"/>
          </w:tcPr>
          <w:p>
            <w:pPr>
              <w:keepNext/>
              <w:keepLines/>
              <w:snapToGrid w:val="0"/>
              <w:spacing w:line="240" w:lineRule="atLeast"/>
              <w:ind w:firstLine="23" w:firstLineChars="11"/>
              <w:jc w:val="center"/>
              <w:rPr>
                <w:sz w:val="21"/>
                <w:szCs w:val="21"/>
              </w:rPr>
            </w:pPr>
            <w:r>
              <w:rPr>
                <w:rFonts w:hint="eastAsia"/>
                <w:sz w:val="21"/>
                <w:szCs w:val="21"/>
              </w:rPr>
              <w:t>高噪声设备设减震垫，同时加设隔音、消音设施</w:t>
            </w:r>
          </w:p>
        </w:tc>
        <w:tc>
          <w:tcPr>
            <w:tcW w:w="655" w:type="pct"/>
            <w:vAlign w:val="center"/>
          </w:tcPr>
          <w:p>
            <w:pPr>
              <w:keepNext/>
              <w:keepLines/>
              <w:snapToGrid w:val="0"/>
              <w:spacing w:line="240" w:lineRule="atLeast"/>
              <w:ind w:firstLine="23" w:firstLineChars="11"/>
              <w:jc w:val="center"/>
              <w:rPr>
                <w:sz w:val="21"/>
                <w:szCs w:val="21"/>
              </w:rPr>
            </w:pPr>
            <w:r>
              <w:rPr>
                <w:rFonts w:hint="eastAsia"/>
                <w:sz w:val="21"/>
                <w:szCs w:val="21"/>
              </w:rPr>
              <w:t>3.0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Merge w:val="continue"/>
            <w:vAlign w:val="center"/>
          </w:tcPr>
          <w:p>
            <w:pPr>
              <w:keepNext/>
              <w:keepLines/>
              <w:snapToGrid w:val="0"/>
              <w:spacing w:line="240" w:lineRule="atLeast"/>
              <w:ind w:firstLine="23" w:firstLineChars="11"/>
              <w:jc w:val="center"/>
              <w:rPr>
                <w:sz w:val="21"/>
                <w:szCs w:val="21"/>
              </w:rPr>
            </w:pPr>
          </w:p>
        </w:tc>
        <w:tc>
          <w:tcPr>
            <w:tcW w:w="865"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社会车辆噪声</w:t>
            </w:r>
          </w:p>
        </w:tc>
        <w:tc>
          <w:tcPr>
            <w:tcW w:w="2901"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工作站及会议室均采用了隔声窗，绿化降噪</w:t>
            </w:r>
          </w:p>
        </w:tc>
        <w:tc>
          <w:tcPr>
            <w:tcW w:w="655" w:type="pct"/>
            <w:vAlign w:val="center"/>
          </w:tcPr>
          <w:p>
            <w:pPr>
              <w:keepNext/>
              <w:keepLines/>
              <w:snapToGrid w:val="0"/>
              <w:spacing w:line="240" w:lineRule="atLeast"/>
              <w:ind w:firstLine="23" w:firstLineChars="11"/>
              <w:jc w:val="center"/>
              <w:rPr>
                <w:sz w:val="21"/>
                <w:szCs w:val="21"/>
              </w:rPr>
            </w:pPr>
            <w:r>
              <w:rPr>
                <w:rFonts w:hint="eastAsia"/>
                <w:sz w:val="21"/>
                <w:szCs w:val="21"/>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9" w:type="pct"/>
            <w:vAlign w:val="center"/>
          </w:tcPr>
          <w:p>
            <w:pPr>
              <w:keepNext/>
              <w:keepLines/>
              <w:snapToGrid w:val="0"/>
              <w:spacing w:line="240" w:lineRule="atLeast"/>
              <w:ind w:firstLine="23" w:firstLineChars="11"/>
              <w:jc w:val="center"/>
              <w:rPr>
                <w:sz w:val="21"/>
                <w:szCs w:val="21"/>
              </w:rPr>
            </w:pPr>
            <w:r>
              <w:rPr>
                <w:sz w:val="21"/>
                <w:szCs w:val="21"/>
              </w:rPr>
              <w:t>生态</w:t>
            </w:r>
          </w:p>
        </w:tc>
        <w:tc>
          <w:tcPr>
            <w:tcW w:w="865" w:type="pct"/>
            <w:vAlign w:val="center"/>
          </w:tcPr>
          <w:p>
            <w:pPr>
              <w:keepNext/>
              <w:keepLines/>
              <w:snapToGrid w:val="0"/>
              <w:spacing w:line="240" w:lineRule="atLeast"/>
              <w:ind w:firstLine="23" w:firstLineChars="11"/>
              <w:jc w:val="center"/>
              <w:rPr>
                <w:position w:val="0"/>
                <w:sz w:val="21"/>
                <w:szCs w:val="21"/>
              </w:rPr>
            </w:pPr>
            <w:r>
              <w:rPr>
                <w:position w:val="0"/>
                <w:sz w:val="21"/>
                <w:szCs w:val="21"/>
              </w:rPr>
              <w:t>绿化</w:t>
            </w:r>
          </w:p>
        </w:tc>
        <w:tc>
          <w:tcPr>
            <w:tcW w:w="2901"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绿化面积达到4327.3</w:t>
            </w:r>
            <w:r>
              <w:rPr>
                <w:position w:val="0"/>
                <w:sz w:val="21"/>
                <w:szCs w:val="21"/>
              </w:rPr>
              <w:t>m</w:t>
            </w:r>
            <w:r>
              <w:rPr>
                <w:position w:val="0"/>
                <w:sz w:val="21"/>
                <w:szCs w:val="21"/>
                <w:vertAlign w:val="superscript"/>
              </w:rPr>
              <w:t>2</w:t>
            </w:r>
          </w:p>
        </w:tc>
        <w:tc>
          <w:tcPr>
            <w:tcW w:w="655"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45" w:type="pct"/>
            <w:gridSpan w:val="3"/>
            <w:vAlign w:val="center"/>
          </w:tcPr>
          <w:p>
            <w:pPr>
              <w:keepNext/>
              <w:keepLines/>
              <w:snapToGrid w:val="0"/>
              <w:spacing w:line="240" w:lineRule="atLeast"/>
              <w:ind w:firstLine="23" w:firstLineChars="11"/>
              <w:jc w:val="center"/>
              <w:rPr>
                <w:position w:val="0"/>
                <w:sz w:val="21"/>
                <w:szCs w:val="21"/>
              </w:rPr>
            </w:pPr>
            <w:r>
              <w:rPr>
                <w:sz w:val="21"/>
                <w:szCs w:val="21"/>
              </w:rPr>
              <w:t>合计</w:t>
            </w:r>
          </w:p>
        </w:tc>
        <w:tc>
          <w:tcPr>
            <w:tcW w:w="655" w:type="pct"/>
            <w:vAlign w:val="center"/>
          </w:tcPr>
          <w:p>
            <w:pPr>
              <w:keepNext/>
              <w:keepLines/>
              <w:snapToGrid w:val="0"/>
              <w:spacing w:line="240" w:lineRule="atLeast"/>
              <w:ind w:firstLine="23" w:firstLineChars="11"/>
              <w:jc w:val="center"/>
              <w:rPr>
                <w:position w:val="0"/>
                <w:sz w:val="21"/>
                <w:szCs w:val="21"/>
              </w:rPr>
            </w:pPr>
            <w:r>
              <w:rPr>
                <w:rFonts w:hint="eastAsia"/>
                <w:position w:val="0"/>
                <w:sz w:val="21"/>
                <w:szCs w:val="21"/>
              </w:rPr>
              <w:t>56.0</w:t>
            </w:r>
          </w:p>
        </w:tc>
      </w:tr>
    </w:tbl>
    <w:p>
      <w:pPr>
        <w:pStyle w:val="2"/>
        <w:rPr>
          <w:rFonts w:hint="eastAsia"/>
        </w:rPr>
      </w:pPr>
    </w:p>
    <w:p>
      <w:pPr>
        <w:pStyle w:val="2"/>
      </w:pPr>
      <w:r>
        <w:rPr>
          <w:rFonts w:hint="eastAsia"/>
        </w:rPr>
        <w:t>与本项目有关的原有污染情况及主要环境问题：</w:t>
      </w:r>
    </w:p>
    <w:p>
      <w:pPr>
        <w:tabs>
          <w:tab w:val="right" w:leader="dot" w:pos="9240"/>
        </w:tabs>
        <w:ind w:firstLine="480"/>
      </w:pPr>
      <w:r>
        <w:t>本项目属于</w:t>
      </w:r>
      <w:r>
        <w:rPr>
          <w:rFonts w:hint="eastAsia"/>
        </w:rPr>
        <w:t>新</w:t>
      </w:r>
      <w:r>
        <w:t>建项目，</w:t>
      </w:r>
      <w:r>
        <w:rPr>
          <w:rFonts w:hint="eastAsia"/>
        </w:rPr>
        <w:t>项目总用地面积为1.3847公顷，经五台县国土资源局调整，本项目占地范围内的限制建设区调整为城镇建设用地区中的允许建设区。目前，项目已经基本建成，属于未批先建，违反了《中华人民共和国环境影响评价法》第25条</w:t>
      </w:r>
      <w:r>
        <w:t>的规定，</w:t>
      </w:r>
      <w:r>
        <w:rPr>
          <w:rFonts w:hint="eastAsia"/>
        </w:rPr>
        <w:t>五台山风景名胜区综合行政执法局</w:t>
      </w:r>
      <w:r>
        <w:t>以</w:t>
      </w:r>
      <w:r>
        <w:rPr>
          <w:rFonts w:hint="eastAsia"/>
        </w:rPr>
        <w:t>台综执</w:t>
      </w:r>
      <w:r>
        <w:t>字</w:t>
      </w:r>
      <w:r>
        <w:rPr>
          <w:rFonts w:hint="eastAsia"/>
        </w:rPr>
        <w:t>（</w:t>
      </w:r>
      <w:r>
        <w:t>201</w:t>
      </w:r>
      <w:r>
        <w:rPr>
          <w:rFonts w:hint="eastAsia"/>
        </w:rPr>
        <w:t>8）001</w:t>
      </w:r>
      <w:r>
        <w:t>号文</w:t>
      </w:r>
      <w:r>
        <w:rPr>
          <w:rFonts w:hint="eastAsia"/>
        </w:rPr>
        <w:t>件对五台山警苑山庄未批先建的行为出具了行政处罚。</w:t>
      </w:r>
    </w:p>
    <w:p>
      <w:pPr>
        <w:tabs>
          <w:tab w:val="right" w:leader="dot" w:pos="9240"/>
        </w:tabs>
        <w:ind w:firstLine="480"/>
      </w:pPr>
      <w:r>
        <w:rPr>
          <w:rFonts w:hint="eastAsia"/>
        </w:rPr>
        <w:t>本次评价以纪实手法对项目进行评价，根据现场勘察，本项目已经基本建成，已建工程和环保设施存在的问题主要为：（1）尚未对山庄原有燃煤锅炉进行拆除并配套电采暖设施；（2）食堂灶台设置了2个灶头，尚未设置油烟净化装置。</w:t>
      </w:r>
    </w:p>
    <w:p>
      <w:pPr>
        <w:tabs>
          <w:tab w:val="right" w:leader="dot" w:pos="9240"/>
        </w:tabs>
        <w:ind w:firstLine="480"/>
      </w:pPr>
      <w:r>
        <w:rPr>
          <w:rFonts w:hint="eastAsia"/>
        </w:rPr>
        <w:t>针对项目工程现状，应采取的整改措施为：（1）立即拆除原有燃煤锅炉，并配套建设空气源热泵电采暖设施，对各采暖单元单独设置采暖系统；（2）在食堂灶台上方设置集气罩，油烟集气罩投影面积应大于灶台面，设一套高效复合油烟净化器，处理风量约为4000m3/h，处理效率达到80%。</w:t>
      </w:r>
    </w:p>
    <w:p>
      <w:pPr>
        <w:tabs>
          <w:tab w:val="right" w:leader="dot" w:pos="9240"/>
        </w:tabs>
        <w:ind w:firstLine="480"/>
      </w:pPr>
      <w:r>
        <w:rPr>
          <w:rFonts w:hint="eastAsia"/>
        </w:rPr>
        <w:t>项目区内未发现施工建设过程后遗留的环境问题，没有裸露地面存在，均采取了场地硬化和绿化恢复措施，以当地常见树种进行了绿化植被种植，环境现状面貌良好。</w:t>
      </w:r>
    </w:p>
    <w:p>
      <w:pPr>
        <w:pStyle w:val="2"/>
      </w:pPr>
      <w:r>
        <w:br w:type="page"/>
      </w:r>
      <w:r>
        <w:pict>
          <v:shape id="Text Box 2355" o:spid="_x0000_s1027" o:spt="202" type="#_x0000_t202" style="position:absolute;left:0pt;margin-left:-11.7pt;margin-top:-31.8pt;height:38.1pt;width:448.2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">
            <v:path/>
            <v:fill on="f" focussize="0,0"/>
            <v:stroke on="f" color="#FFFFFF" joinstyle="miter"/>
            <v:imagedata o:title=""/>
            <o:lock v:ext="edit"/>
            <v:textbox>
              <w:txbxContent>
                <w:p>
                  <w:pPr>
                    <w:ind w:firstLine="0" w:firstLineChars="0"/>
                    <w:rPr>
                      <w:rFonts w:ascii="黑体" w:eastAsia="黑体"/>
                      <w:color w:val="000000"/>
                      <w:sz w:val="30"/>
                    </w:rPr>
                  </w:pPr>
                  <w:r>
                    <w:rPr>
                      <w:rFonts w:hint="eastAsia" w:ascii="黑体" w:eastAsia="黑体"/>
                      <w:color w:val="000000"/>
                      <w:sz w:val="30"/>
                    </w:rPr>
                    <w:t>建设项目所在地自然环境概况</w:t>
                  </w:r>
                </w:p>
              </w:txbxContent>
            </v:textbox>
          </v:shape>
        </w:pict>
      </w:r>
      <w:r>
        <w:rPr>
          <w:rFonts w:hint="eastAsia"/>
        </w:rPr>
        <w:t>自然环境简况</w:t>
      </w:r>
    </w:p>
    <w:p>
      <w:pPr>
        <w:spacing w:line="480" w:lineRule="exact"/>
        <w:ind w:firstLine="480"/>
        <w:rPr>
          <w:rFonts w:ascii="宋体" w:hAnsi="宋体"/>
          <w:bCs/>
        </w:rPr>
      </w:pPr>
      <w:r>
        <w:rPr>
          <w:rFonts w:hint="eastAsia" w:ascii="宋体" w:hAnsi="宋体"/>
          <w:bCs/>
        </w:rPr>
        <w:t>略</w:t>
      </w: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spacing w:line="480" w:lineRule="exact"/>
        <w:ind w:firstLine="480"/>
        <w:rPr>
          <w:rFonts w:ascii="宋体" w:hAnsi="宋体"/>
          <w:bCs/>
        </w:rPr>
      </w:pPr>
    </w:p>
    <w:p>
      <w:pPr>
        <w:ind w:firstLine="496"/>
        <w:jc w:val="left"/>
        <w:rPr>
          <w:bCs/>
          <w:spacing w:val="4"/>
        </w:rPr>
        <w:sectPr>
          <w:footerReference r:id="rId17" w:type="default"/>
          <w:pgSz w:w="11906" w:h="16838"/>
          <w:pgMar w:top="1701" w:right="1701" w:bottom="1701" w:left="1701" w:header="1418" w:footer="1418" w:gutter="0"/>
          <w:pgBorders>
            <w:top w:val="single" w:color="auto" w:sz="12" w:space="1"/>
            <w:left w:val="single" w:color="auto" w:sz="12" w:space="5"/>
            <w:bottom w:val="single" w:color="auto" w:sz="12" w:space="1"/>
            <w:right w:val="single" w:color="auto" w:sz="12" w:space="5"/>
          </w:pgBorders>
          <w:pgNumType w:start="1"/>
          <w:cols w:space="425" w:num="1"/>
          <w:docGrid w:linePitch="312" w:charSpace="0"/>
        </w:sectPr>
      </w:pPr>
    </w:p>
    <w:p>
      <w:pPr>
        <w:pStyle w:val="2"/>
      </w:pPr>
      <w:r>
        <w:rPr>
          <w:sz w:val="20"/>
        </w:rPr>
        <w:pict>
          <v:shape id="Text Box 2356" o:spid="_x0000_s1028" o:spt="202" type="#_x0000_t202" style="position:absolute;left:0pt;margin-left:0.25pt;margin-top:-32.6pt;height:28.45pt;width:178.5pt;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">
            <v:path/>
            <v:fill focussize="0,0"/>
            <v:stroke on="f" joinstyle="miter"/>
            <v:imagedata o:title=""/>
            <o:lock v:ext="edit"/>
            <v:textbox>
              <w:txbxContent>
                <w:p>
                  <w:pPr>
                    <w:ind w:firstLine="0" w:firstLineChars="0"/>
                    <w:rPr>
                      <w:b/>
                      <w:bCs/>
                      <w:color w:val="000000"/>
                      <w:sz w:val="32"/>
                    </w:rPr>
                  </w:pPr>
                  <w:r>
                    <w:rPr>
                      <w:rFonts w:hint="eastAsia" w:eastAsia="黑体"/>
                      <w:b/>
                      <w:bCs/>
                      <w:color w:val="000000"/>
                      <w:sz w:val="32"/>
                    </w:rPr>
                    <w:t>环境质量状况</w:t>
                  </w:r>
                </w:p>
              </w:txbxContent>
            </v:textbox>
          </v:shape>
        </w:pict>
      </w:r>
      <w:r>
        <w:t>建设项目所在地区域环境质量现状及主要环境问题（环境空气、地面水、地下水、声环境、生态环境等）</w:t>
      </w:r>
    </w:p>
    <w:p>
      <w:pPr>
        <w:spacing w:beforeLines="50"/>
        <w:ind w:firstLine="480"/>
      </w:pPr>
      <w:r>
        <w:rPr>
          <w:rFonts w:hint="eastAsia"/>
        </w:rPr>
        <w:t>略</w:t>
      </w:r>
    </w:p>
    <w:p>
      <w:pPr>
        <w:ind w:firstLine="480"/>
      </w:pPr>
    </w:p>
    <w:p>
      <w:pPr>
        <w:ind w:firstLine="0" w:firstLineChars="0"/>
        <w:sectPr>
          <w:headerReference r:id="rId18" w:type="default"/>
          <w:footerReference r:id="rId19" w:type="default"/>
          <w:footerReference r:id="rId20" w:type="even"/>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ind w:firstLine="0" w:firstLineChars="0"/>
        <w:rPr>
          <w:b/>
          <w:bCs/>
          <w:kern w:val="44"/>
          <w:position w:val="10"/>
          <w:sz w:val="28"/>
          <w:szCs w:val="44"/>
        </w:rPr>
      </w:pPr>
      <w:r>
        <w:rPr>
          <w:rFonts w:hint="eastAsia"/>
          <w:b/>
          <w:bCs/>
          <w:kern w:val="44"/>
          <w:position w:val="10"/>
          <w:sz w:val="28"/>
          <w:szCs w:val="44"/>
        </w:rPr>
        <w:t>环境功能区划</w:t>
      </w:r>
    </w:p>
    <w:p>
      <w:pPr>
        <w:ind w:firstLine="372" w:firstLineChars="150"/>
        <w:rPr>
          <w:bCs/>
          <w:spacing w:val="4"/>
        </w:rPr>
      </w:pPr>
      <w:r>
        <w:rPr>
          <w:bCs/>
          <w:spacing w:val="4"/>
        </w:rPr>
        <w:t>（1）环境空气</w:t>
      </w:r>
      <w:r>
        <w:rPr>
          <w:rFonts w:hint="eastAsia"/>
          <w:bCs/>
          <w:spacing w:val="4"/>
        </w:rPr>
        <w:t>：</w:t>
      </w:r>
      <w:r>
        <w:rPr>
          <w:bCs/>
          <w:spacing w:val="4"/>
        </w:rPr>
        <w:t>根据《环境空气质量标准》（GB3095-</w:t>
      </w:r>
      <w:r>
        <w:rPr>
          <w:rFonts w:hint="eastAsia"/>
          <w:bCs/>
          <w:spacing w:val="4"/>
        </w:rPr>
        <w:t>2012</w:t>
      </w:r>
      <w:r>
        <w:rPr>
          <w:bCs/>
          <w:spacing w:val="4"/>
        </w:rPr>
        <w:t>）中环境功能区划分规定，本区域应为</w:t>
      </w:r>
      <w:r>
        <w:rPr>
          <w:rFonts w:hint="eastAsia"/>
          <w:bCs/>
          <w:spacing w:val="4"/>
        </w:rPr>
        <w:t>一</w:t>
      </w:r>
      <w:r>
        <w:rPr>
          <w:bCs/>
          <w:spacing w:val="4"/>
        </w:rPr>
        <w:t>类区，执行《环境空气质量标准》（GB3095-</w:t>
      </w:r>
      <w:r>
        <w:rPr>
          <w:rFonts w:hint="eastAsia"/>
          <w:bCs/>
          <w:spacing w:val="4"/>
        </w:rPr>
        <w:t>2012</w:t>
      </w:r>
      <w:r>
        <w:rPr>
          <w:bCs/>
          <w:spacing w:val="4"/>
        </w:rPr>
        <w:t>）中的</w:t>
      </w:r>
      <w:r>
        <w:rPr>
          <w:rFonts w:hint="eastAsia"/>
          <w:bCs/>
          <w:spacing w:val="4"/>
        </w:rPr>
        <w:t>一</w:t>
      </w:r>
      <w:r>
        <w:rPr>
          <w:bCs/>
          <w:spacing w:val="4"/>
        </w:rPr>
        <w:t>级标准；</w:t>
      </w:r>
    </w:p>
    <w:p>
      <w:pPr>
        <w:ind w:firstLine="496"/>
        <w:rPr>
          <w:bCs/>
          <w:spacing w:val="4"/>
        </w:rPr>
      </w:pPr>
      <w:r>
        <w:rPr>
          <w:bCs/>
          <w:spacing w:val="4"/>
        </w:rPr>
        <w:t>（2）地表水</w:t>
      </w:r>
      <w:r>
        <w:rPr>
          <w:rFonts w:hint="eastAsia"/>
          <w:bCs/>
          <w:spacing w:val="4"/>
        </w:rPr>
        <w:t>：根据《山西省地表水水环境功能区划》（DB14/67-2014）本项目区属于海河流域滹沱河山区分区滹沱河水系，河流为清水河，范围起子源头止至门限石，水环境功能为重要源头水保护，水质要求为</w:t>
      </w:r>
      <w:r>
        <w:rPr>
          <w:rFonts w:hint="eastAsia" w:ascii="宋体" w:hAnsi="宋体"/>
          <w:bCs/>
          <w:spacing w:val="4"/>
        </w:rPr>
        <w:t>Ⅱ</w:t>
      </w:r>
      <w:r>
        <w:rPr>
          <w:rFonts w:hint="eastAsia"/>
          <w:bCs/>
          <w:spacing w:val="4"/>
        </w:rPr>
        <w:t>类水质标准，因此，地表水环境执行《地表水环境质量标准》（</w:t>
      </w:r>
      <w:r>
        <w:rPr>
          <w:bCs/>
          <w:spacing w:val="4"/>
        </w:rPr>
        <w:t>GB3838-2002）</w:t>
      </w:r>
      <w:r>
        <w:rPr>
          <w:rFonts w:hint="eastAsia" w:ascii="宋体" w:hAnsi="宋体"/>
          <w:bCs/>
          <w:spacing w:val="4"/>
        </w:rPr>
        <w:t>Ⅱ</w:t>
      </w:r>
      <w:r>
        <w:rPr>
          <w:rFonts w:hint="eastAsia"/>
          <w:bCs/>
          <w:spacing w:val="4"/>
        </w:rPr>
        <w:t>类</w:t>
      </w:r>
      <w:r>
        <w:rPr>
          <w:bCs/>
          <w:spacing w:val="4"/>
        </w:rPr>
        <w:t>水质标准。</w:t>
      </w:r>
    </w:p>
    <w:p>
      <w:pPr>
        <w:ind w:firstLine="496"/>
        <w:rPr>
          <w:bCs/>
          <w:spacing w:val="4"/>
        </w:rPr>
      </w:pPr>
      <w:r>
        <w:rPr>
          <w:bCs/>
          <w:spacing w:val="4"/>
        </w:rPr>
        <w:t>（3）地下水：根据《地下水质量标准》（GB/T14848-93）中的分类，本区地下水执行Ⅲ类标准。</w:t>
      </w:r>
    </w:p>
    <w:p>
      <w:pPr>
        <w:ind w:firstLine="496"/>
        <w:rPr>
          <w:bCs/>
        </w:rPr>
      </w:pPr>
      <w:r>
        <w:rPr>
          <w:bCs/>
          <w:spacing w:val="4"/>
        </w:rPr>
        <w:t>（4）声环境：</w:t>
      </w:r>
      <w:r>
        <w:rPr>
          <w:rFonts w:hint="eastAsia"/>
          <w:bCs/>
          <w:spacing w:val="4"/>
        </w:rPr>
        <w:t>本项目所在区域属于乡村环境，加之考虑风景名胜区的声环境质量控制要求，依据</w:t>
      </w:r>
      <w:r>
        <w:rPr>
          <w:bCs/>
          <w:spacing w:val="4"/>
        </w:rPr>
        <w:t>《</w:t>
      </w:r>
      <w:r>
        <w:fldChar w:fldCharType="begin"/>
      </w:r>
      <w:r>
        <w:instrText xml:space="preserve"> HYPERLINK "http://www.zhb.gov.cn/info/bgw/bgg/200809/W020080917334259620241.pdf" \t "_self" </w:instrText>
      </w:r>
      <w:r>
        <w:fldChar w:fldCharType="separate"/>
      </w:r>
      <w:r>
        <w:rPr>
          <w:bCs/>
          <w:spacing w:val="4"/>
        </w:rPr>
        <w:t>声环境质量标准》（GB3096-2008）</w:t>
      </w:r>
      <w:r>
        <w:rPr>
          <w:bCs/>
          <w:spacing w:val="4"/>
        </w:rPr>
        <w:fldChar w:fldCharType="end"/>
      </w:r>
      <w:r>
        <w:rPr>
          <w:bCs/>
          <w:spacing w:val="4"/>
        </w:rPr>
        <w:t>中的分类</w:t>
      </w:r>
      <w:r>
        <w:rPr>
          <w:rFonts w:hint="eastAsia"/>
          <w:bCs/>
          <w:spacing w:val="4"/>
        </w:rPr>
        <w:t>，本项目区域声环境质量执行1类标准要求。</w:t>
      </w:r>
    </w:p>
    <w:p>
      <w:pPr>
        <w:ind w:firstLine="480"/>
        <w:outlineLvl w:val="0"/>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ind w:firstLine="0" w:firstLineChars="0"/>
        <w:rPr>
          <w:b/>
          <w:bCs/>
          <w:kern w:val="44"/>
          <w:position w:val="10"/>
          <w:sz w:val="28"/>
          <w:szCs w:val="44"/>
        </w:rPr>
      </w:pPr>
      <w:r>
        <w:rPr>
          <w:rFonts w:hint="eastAsia"/>
          <w:b/>
          <w:bCs/>
          <w:kern w:val="44"/>
          <w:position w:val="10"/>
          <w:sz w:val="28"/>
          <w:szCs w:val="44"/>
        </w:rPr>
        <w:t>主要环境保护目标（列出名单及保护级别）</w:t>
      </w:r>
    </w:p>
    <w:p>
      <w:pPr>
        <w:ind w:firstLine="480"/>
        <w:rPr>
          <w:kern w:val="0"/>
        </w:rPr>
      </w:pPr>
      <w:r>
        <w:rPr>
          <w:kern w:val="0"/>
        </w:rPr>
        <w:t>按国家环境保护部制定的《建设项目环境影响评价分类管理名录》中关于环境敏感因素的界定</w:t>
      </w:r>
      <w:r>
        <w:rPr>
          <w:rFonts w:hint="eastAsia"/>
          <w:kern w:val="0"/>
        </w:rPr>
        <w:t>：（一）</w:t>
      </w:r>
      <w:r>
        <w:rPr>
          <w:kern w:val="0"/>
        </w:rPr>
        <w:t>自然保护区、</w:t>
      </w:r>
      <w:r>
        <w:rPr>
          <w:rFonts w:hint="eastAsia"/>
          <w:kern w:val="0"/>
        </w:rPr>
        <w:t>风景名胜区、世界文化和自然遗产地、海洋特别保护区、饮用水</w:t>
      </w:r>
      <w:r>
        <w:rPr>
          <w:kern w:val="0"/>
        </w:rPr>
        <w:t>水源保护区</w:t>
      </w:r>
      <w:r>
        <w:rPr>
          <w:rFonts w:hint="eastAsia"/>
          <w:kern w:val="0"/>
        </w:rPr>
        <w:t>；（二）基本农田保护区、基本草原、森林公园、地质公园、野生动物重要栖息地、重点保护野生植物生长繁殖地、重要水生生物的自然产卵场、索饵场、越冬场和洄游通道、天然渔场、水土流失重点防治区、沙化土地封禁保护区、封闭及半封闭海域；（三）以居住、医疗卫生、文化教育、科研、行政办公等为主要功能的区域，以及文物保护单位</w:t>
      </w:r>
      <w:r>
        <w:rPr>
          <w:kern w:val="0"/>
        </w:rPr>
        <w:t>。</w:t>
      </w:r>
    </w:p>
    <w:p>
      <w:pPr>
        <w:ind w:firstLine="480"/>
        <w:rPr>
          <w:bCs/>
        </w:rPr>
      </w:pPr>
      <w:r>
        <w:rPr>
          <w:rFonts w:hint="eastAsia"/>
        </w:rPr>
        <w:t>根据本项目</w:t>
      </w:r>
      <w:r>
        <w:t>特征和当地环境特征，</w:t>
      </w:r>
      <w:r>
        <w:rPr>
          <w:kern w:val="0"/>
        </w:rPr>
        <w:t>本次评价确定评价区域内的</w:t>
      </w:r>
      <w:r>
        <w:rPr>
          <w:rFonts w:hint="eastAsia"/>
          <w:kern w:val="0"/>
        </w:rPr>
        <w:t>周边</w:t>
      </w:r>
      <w:r>
        <w:rPr>
          <w:kern w:val="0"/>
        </w:rPr>
        <w:t>村庄</w:t>
      </w:r>
      <w:r>
        <w:rPr>
          <w:rFonts w:hint="eastAsia"/>
          <w:kern w:val="0"/>
        </w:rPr>
        <w:t>、清水河，以及</w:t>
      </w:r>
      <w:r>
        <w:rPr>
          <w:rFonts w:hint="eastAsia"/>
          <w:bCs/>
        </w:rPr>
        <w:t>五台山世界自然文化遗产、五台山国家级风景名胜区、五台山国家地质公园、五台山国家森林公园等生态敏感区，为主要环境保护目标。</w:t>
      </w:r>
    </w:p>
    <w:p>
      <w:pPr>
        <w:ind w:firstLine="528"/>
      </w:pPr>
      <w:r>
        <w:rPr>
          <w:rFonts w:hint="eastAsia" w:hAnsi="宋体"/>
          <w:spacing w:val="12"/>
        </w:rPr>
        <w:t>主要</w:t>
      </w:r>
      <w:r>
        <w:rPr>
          <w:rFonts w:hint="eastAsia"/>
        </w:rPr>
        <w:t>环境保护目标见下表7，环保目标图见图1。</w:t>
      </w:r>
    </w:p>
    <w:p>
      <w:pPr>
        <w:pStyle w:val="7"/>
        <w:rPr>
          <w:color w:val="auto"/>
        </w:rPr>
      </w:pPr>
      <w:r>
        <w:rPr>
          <w:rFonts w:hint="eastAsia"/>
          <w:color w:val="auto"/>
        </w:rPr>
        <w:t>表7   项目环境保护目标表</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64"/>
        <w:gridCol w:w="1121"/>
        <w:gridCol w:w="1421"/>
        <w:gridCol w:w="727"/>
        <w:gridCol w:w="851"/>
        <w:gridCol w:w="782"/>
        <w:gridCol w:w="315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Align w:val="center"/>
          </w:tcPr>
          <w:p>
            <w:pPr>
              <w:keepNext/>
              <w:keepLines/>
              <w:spacing w:line="240" w:lineRule="atLeast"/>
              <w:ind w:firstLine="23" w:firstLineChars="11"/>
              <w:jc w:val="center"/>
              <w:rPr>
                <w:sz w:val="21"/>
                <w:szCs w:val="21"/>
              </w:rPr>
            </w:pPr>
            <w:r>
              <w:rPr>
                <w:sz w:val="21"/>
                <w:szCs w:val="21"/>
              </w:rPr>
              <w:t>序号</w:t>
            </w:r>
          </w:p>
        </w:tc>
        <w:tc>
          <w:tcPr>
            <w:tcW w:w="643" w:type="pct"/>
            <w:vAlign w:val="center"/>
          </w:tcPr>
          <w:p>
            <w:pPr>
              <w:keepNext/>
              <w:keepLines/>
              <w:spacing w:line="240" w:lineRule="atLeast"/>
              <w:ind w:firstLine="23" w:firstLineChars="11"/>
              <w:jc w:val="center"/>
              <w:rPr>
                <w:sz w:val="21"/>
                <w:szCs w:val="21"/>
              </w:rPr>
            </w:pPr>
            <w:r>
              <w:rPr>
                <w:sz w:val="21"/>
                <w:szCs w:val="21"/>
              </w:rPr>
              <w:t>环境要素</w:t>
            </w:r>
          </w:p>
        </w:tc>
        <w:tc>
          <w:tcPr>
            <w:tcW w:w="815" w:type="pct"/>
            <w:shd w:val="clear" w:color="auto" w:fill="auto"/>
            <w:vAlign w:val="center"/>
          </w:tcPr>
          <w:p>
            <w:pPr>
              <w:keepNext/>
              <w:keepLines/>
              <w:spacing w:line="240" w:lineRule="atLeast"/>
              <w:ind w:firstLine="23" w:firstLineChars="11"/>
              <w:jc w:val="center"/>
              <w:rPr>
                <w:sz w:val="21"/>
                <w:szCs w:val="21"/>
              </w:rPr>
            </w:pPr>
            <w:r>
              <w:rPr>
                <w:sz w:val="21"/>
                <w:szCs w:val="21"/>
              </w:rPr>
              <w:t>保护对象</w:t>
            </w:r>
          </w:p>
        </w:tc>
        <w:tc>
          <w:tcPr>
            <w:tcW w:w="417" w:type="pct"/>
            <w:shd w:val="clear" w:color="auto" w:fill="auto"/>
            <w:vAlign w:val="center"/>
          </w:tcPr>
          <w:p>
            <w:pPr>
              <w:keepNext/>
              <w:keepLines/>
              <w:spacing w:line="240" w:lineRule="atLeast"/>
              <w:ind w:firstLine="23" w:firstLineChars="11"/>
              <w:jc w:val="center"/>
              <w:rPr>
                <w:sz w:val="21"/>
                <w:szCs w:val="21"/>
              </w:rPr>
            </w:pPr>
            <w:r>
              <w:rPr>
                <w:sz w:val="21"/>
                <w:szCs w:val="21"/>
              </w:rPr>
              <w:t>方位</w:t>
            </w:r>
          </w:p>
        </w:tc>
        <w:tc>
          <w:tcPr>
            <w:tcW w:w="488" w:type="pct"/>
            <w:shd w:val="clear" w:color="auto" w:fill="auto"/>
            <w:vAlign w:val="center"/>
          </w:tcPr>
          <w:p>
            <w:pPr>
              <w:keepNext/>
              <w:keepLines/>
              <w:spacing w:line="240" w:lineRule="atLeast"/>
              <w:ind w:firstLine="23" w:firstLineChars="11"/>
              <w:jc w:val="center"/>
              <w:rPr>
                <w:sz w:val="21"/>
                <w:szCs w:val="21"/>
              </w:rPr>
            </w:pPr>
            <w:r>
              <w:rPr>
                <w:sz w:val="21"/>
                <w:szCs w:val="21"/>
              </w:rPr>
              <w:t>距离</w:t>
            </w:r>
          </w:p>
        </w:tc>
        <w:tc>
          <w:tcPr>
            <w:tcW w:w="448" w:type="pct"/>
            <w:shd w:val="clear" w:color="auto" w:fill="auto"/>
            <w:vAlign w:val="center"/>
          </w:tcPr>
          <w:p>
            <w:pPr>
              <w:keepNext/>
              <w:keepLines/>
              <w:spacing w:line="240" w:lineRule="atLeast"/>
              <w:ind w:firstLine="0" w:firstLineChars="0"/>
              <w:jc w:val="center"/>
              <w:rPr>
                <w:sz w:val="21"/>
                <w:szCs w:val="21"/>
              </w:rPr>
            </w:pPr>
            <w:r>
              <w:rPr>
                <w:rFonts w:hint="eastAsia"/>
                <w:sz w:val="21"/>
                <w:szCs w:val="21"/>
              </w:rPr>
              <w:t>人口</w:t>
            </w:r>
          </w:p>
        </w:tc>
        <w:tc>
          <w:tcPr>
            <w:tcW w:w="1808" w:type="pct"/>
            <w:vAlign w:val="center"/>
          </w:tcPr>
          <w:p>
            <w:pPr>
              <w:keepNext/>
              <w:keepLines/>
              <w:spacing w:line="240" w:lineRule="atLeast"/>
              <w:ind w:firstLine="23" w:firstLineChars="11"/>
              <w:jc w:val="center"/>
              <w:rPr>
                <w:sz w:val="21"/>
                <w:szCs w:val="21"/>
              </w:rPr>
            </w:pPr>
            <w:r>
              <w:rPr>
                <w:sz w:val="21"/>
                <w:szCs w:val="21"/>
              </w:rPr>
              <w:t>保护要求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restart"/>
            <w:vAlign w:val="center"/>
          </w:tcPr>
          <w:p>
            <w:pPr>
              <w:keepNext/>
              <w:keepLines/>
              <w:spacing w:line="240" w:lineRule="atLeast"/>
              <w:ind w:firstLine="23" w:firstLineChars="11"/>
              <w:jc w:val="center"/>
              <w:rPr>
                <w:sz w:val="21"/>
                <w:szCs w:val="21"/>
              </w:rPr>
            </w:pPr>
            <w:r>
              <w:rPr>
                <w:sz w:val="21"/>
                <w:szCs w:val="21"/>
              </w:rPr>
              <w:t>1</w:t>
            </w:r>
          </w:p>
        </w:tc>
        <w:tc>
          <w:tcPr>
            <w:tcW w:w="643" w:type="pct"/>
            <w:vMerge w:val="restart"/>
            <w:vAlign w:val="center"/>
          </w:tcPr>
          <w:p>
            <w:pPr>
              <w:keepNext/>
              <w:keepLines/>
              <w:spacing w:line="240" w:lineRule="atLeast"/>
              <w:ind w:firstLine="23" w:firstLineChars="11"/>
              <w:jc w:val="center"/>
              <w:rPr>
                <w:sz w:val="21"/>
                <w:szCs w:val="21"/>
              </w:rPr>
            </w:pPr>
            <w:r>
              <w:rPr>
                <w:sz w:val="21"/>
                <w:szCs w:val="21"/>
              </w:rPr>
              <w:t>环境空气</w:t>
            </w:r>
          </w:p>
        </w:tc>
        <w:tc>
          <w:tcPr>
            <w:tcW w:w="815"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西湾村</w:t>
            </w:r>
          </w:p>
        </w:tc>
        <w:tc>
          <w:tcPr>
            <w:tcW w:w="417"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NW</w:t>
            </w:r>
          </w:p>
        </w:tc>
        <w:tc>
          <w:tcPr>
            <w:tcW w:w="488"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105m</w:t>
            </w:r>
          </w:p>
        </w:tc>
        <w:tc>
          <w:tcPr>
            <w:tcW w:w="448" w:type="pct"/>
            <w:shd w:val="clear" w:color="auto" w:fill="auto"/>
            <w:vAlign w:val="center"/>
          </w:tcPr>
          <w:p>
            <w:pPr>
              <w:keepNext/>
              <w:keepLines/>
              <w:spacing w:line="240" w:lineRule="atLeast"/>
              <w:ind w:firstLine="0" w:firstLineChars="0"/>
              <w:jc w:val="center"/>
              <w:rPr>
                <w:sz w:val="21"/>
                <w:szCs w:val="21"/>
              </w:rPr>
            </w:pPr>
            <w:r>
              <w:rPr>
                <w:rFonts w:hint="eastAsia"/>
                <w:sz w:val="21"/>
                <w:szCs w:val="21"/>
              </w:rPr>
              <w:t>90人</w:t>
            </w:r>
          </w:p>
        </w:tc>
        <w:tc>
          <w:tcPr>
            <w:tcW w:w="1808" w:type="pct"/>
            <w:vMerge w:val="restart"/>
            <w:shd w:val="clear" w:color="auto" w:fill="auto"/>
            <w:vAlign w:val="center"/>
          </w:tcPr>
          <w:p>
            <w:pPr>
              <w:keepNext/>
              <w:keepLines/>
              <w:spacing w:line="240" w:lineRule="atLeast"/>
              <w:ind w:firstLine="23" w:firstLineChars="11"/>
              <w:jc w:val="center"/>
              <w:rPr>
                <w:sz w:val="21"/>
                <w:szCs w:val="21"/>
              </w:rPr>
            </w:pPr>
            <w:r>
              <w:rPr>
                <w:rFonts w:hint="eastAsia"/>
                <w:sz w:val="21"/>
                <w:szCs w:val="21"/>
              </w:rPr>
              <w:t>《环境空气质量标准》（</w:t>
            </w:r>
            <w:r>
              <w:rPr>
                <w:sz w:val="21"/>
                <w:szCs w:val="21"/>
              </w:rPr>
              <w:t>GB3095-2012）</w:t>
            </w:r>
            <w:r>
              <w:rPr>
                <w:rFonts w:hint="eastAsia"/>
                <w:sz w:val="21"/>
                <w:szCs w:val="21"/>
              </w:rPr>
              <w:t>一级标准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拟建平章寺</w:t>
            </w:r>
          </w:p>
        </w:tc>
        <w:tc>
          <w:tcPr>
            <w:tcW w:w="417"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W</w:t>
            </w:r>
          </w:p>
        </w:tc>
        <w:tc>
          <w:tcPr>
            <w:tcW w:w="488"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95m</w:t>
            </w:r>
          </w:p>
        </w:tc>
        <w:tc>
          <w:tcPr>
            <w:tcW w:w="448" w:type="pct"/>
            <w:shd w:val="clear" w:color="auto" w:fill="auto"/>
            <w:vAlign w:val="center"/>
          </w:tcPr>
          <w:p>
            <w:pPr>
              <w:keepNext/>
              <w:keepLines/>
              <w:spacing w:line="240" w:lineRule="atLeast"/>
              <w:ind w:firstLine="0" w:firstLineChars="0"/>
              <w:jc w:val="center"/>
              <w:rPr>
                <w:sz w:val="21"/>
                <w:szCs w:val="21"/>
              </w:rPr>
            </w:pPr>
            <w:r>
              <w:rPr>
                <w:rFonts w:hint="eastAsia"/>
                <w:sz w:val="21"/>
                <w:szCs w:val="21"/>
              </w:rPr>
              <w:t>68人</w:t>
            </w:r>
          </w:p>
        </w:tc>
        <w:tc>
          <w:tcPr>
            <w:tcW w:w="1808"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光明寺村</w:t>
            </w:r>
          </w:p>
        </w:tc>
        <w:tc>
          <w:tcPr>
            <w:tcW w:w="417"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SW</w:t>
            </w:r>
          </w:p>
        </w:tc>
        <w:tc>
          <w:tcPr>
            <w:tcW w:w="488"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900m</w:t>
            </w:r>
          </w:p>
        </w:tc>
        <w:tc>
          <w:tcPr>
            <w:tcW w:w="448" w:type="pct"/>
            <w:shd w:val="clear" w:color="auto" w:fill="auto"/>
            <w:vAlign w:val="center"/>
          </w:tcPr>
          <w:p>
            <w:pPr>
              <w:keepNext/>
              <w:keepLines/>
              <w:spacing w:line="240" w:lineRule="atLeast"/>
              <w:ind w:firstLine="0" w:firstLineChars="0"/>
              <w:jc w:val="center"/>
              <w:rPr>
                <w:sz w:val="21"/>
                <w:szCs w:val="21"/>
              </w:rPr>
            </w:pPr>
            <w:r>
              <w:rPr>
                <w:rFonts w:hint="eastAsia"/>
                <w:sz w:val="21"/>
                <w:szCs w:val="21"/>
              </w:rPr>
              <w:t>180人</w:t>
            </w:r>
          </w:p>
        </w:tc>
        <w:tc>
          <w:tcPr>
            <w:tcW w:w="1808"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柏枝岩村</w:t>
            </w:r>
          </w:p>
        </w:tc>
        <w:tc>
          <w:tcPr>
            <w:tcW w:w="417"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NW</w:t>
            </w:r>
          </w:p>
        </w:tc>
        <w:tc>
          <w:tcPr>
            <w:tcW w:w="488"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1010m</w:t>
            </w:r>
          </w:p>
        </w:tc>
        <w:tc>
          <w:tcPr>
            <w:tcW w:w="448" w:type="pct"/>
            <w:shd w:val="clear" w:color="auto" w:fill="auto"/>
            <w:vAlign w:val="center"/>
          </w:tcPr>
          <w:p>
            <w:pPr>
              <w:keepNext/>
              <w:keepLines/>
              <w:spacing w:line="240" w:lineRule="atLeast"/>
              <w:ind w:firstLine="0" w:firstLineChars="0"/>
              <w:jc w:val="center"/>
              <w:rPr>
                <w:sz w:val="21"/>
                <w:szCs w:val="21"/>
              </w:rPr>
            </w:pPr>
            <w:r>
              <w:rPr>
                <w:rFonts w:hint="eastAsia"/>
                <w:sz w:val="21"/>
                <w:szCs w:val="21"/>
              </w:rPr>
              <w:t>177人</w:t>
            </w:r>
          </w:p>
        </w:tc>
        <w:tc>
          <w:tcPr>
            <w:tcW w:w="1808"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东台沟村</w:t>
            </w:r>
          </w:p>
        </w:tc>
        <w:tc>
          <w:tcPr>
            <w:tcW w:w="417"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NE</w:t>
            </w:r>
          </w:p>
        </w:tc>
        <w:tc>
          <w:tcPr>
            <w:tcW w:w="488" w:type="pct"/>
            <w:shd w:val="clear" w:color="auto" w:fill="auto"/>
            <w:vAlign w:val="center"/>
          </w:tcPr>
          <w:p>
            <w:pPr>
              <w:keepNext/>
              <w:keepLines/>
              <w:spacing w:line="240" w:lineRule="atLeast"/>
              <w:ind w:firstLine="23" w:firstLineChars="11"/>
              <w:jc w:val="center"/>
              <w:rPr>
                <w:sz w:val="21"/>
                <w:szCs w:val="21"/>
              </w:rPr>
            </w:pPr>
            <w:r>
              <w:rPr>
                <w:rFonts w:hint="eastAsia"/>
                <w:sz w:val="21"/>
                <w:szCs w:val="21"/>
              </w:rPr>
              <w:t>900m</w:t>
            </w:r>
          </w:p>
        </w:tc>
        <w:tc>
          <w:tcPr>
            <w:tcW w:w="448" w:type="pct"/>
            <w:shd w:val="clear" w:color="auto" w:fill="auto"/>
            <w:vAlign w:val="center"/>
          </w:tcPr>
          <w:p>
            <w:pPr>
              <w:keepNext/>
              <w:keepLines/>
              <w:spacing w:line="240" w:lineRule="atLeast"/>
              <w:ind w:firstLine="0" w:firstLineChars="0"/>
              <w:jc w:val="center"/>
              <w:rPr>
                <w:sz w:val="21"/>
                <w:szCs w:val="21"/>
              </w:rPr>
            </w:pPr>
            <w:r>
              <w:rPr>
                <w:rFonts w:hint="eastAsia"/>
                <w:sz w:val="21"/>
                <w:szCs w:val="21"/>
              </w:rPr>
              <w:t>240人</w:t>
            </w:r>
          </w:p>
        </w:tc>
        <w:tc>
          <w:tcPr>
            <w:tcW w:w="1808" w:type="pct"/>
            <w:vMerge w:val="continue"/>
            <w:shd w:val="clear" w:color="auto" w:fill="auto"/>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Align w:val="center"/>
          </w:tcPr>
          <w:p>
            <w:pPr>
              <w:keepNext/>
              <w:keepLines/>
              <w:spacing w:line="240" w:lineRule="atLeast"/>
              <w:ind w:firstLine="23" w:firstLineChars="11"/>
              <w:jc w:val="center"/>
              <w:rPr>
                <w:sz w:val="21"/>
                <w:szCs w:val="21"/>
              </w:rPr>
            </w:pPr>
            <w:r>
              <w:rPr>
                <w:rFonts w:hint="eastAsia"/>
                <w:sz w:val="21"/>
                <w:szCs w:val="21"/>
              </w:rPr>
              <w:t>2</w:t>
            </w:r>
          </w:p>
        </w:tc>
        <w:tc>
          <w:tcPr>
            <w:tcW w:w="643" w:type="pct"/>
            <w:vAlign w:val="center"/>
          </w:tcPr>
          <w:p>
            <w:pPr>
              <w:keepNext/>
              <w:keepLines/>
              <w:spacing w:line="240" w:lineRule="atLeast"/>
              <w:ind w:firstLine="23" w:firstLineChars="11"/>
              <w:jc w:val="center"/>
              <w:rPr>
                <w:sz w:val="21"/>
                <w:szCs w:val="21"/>
              </w:rPr>
            </w:pPr>
            <w:r>
              <w:rPr>
                <w:sz w:val="21"/>
                <w:szCs w:val="21"/>
              </w:rPr>
              <w:t>地表水</w:t>
            </w:r>
          </w:p>
        </w:tc>
        <w:tc>
          <w:tcPr>
            <w:tcW w:w="815" w:type="pct"/>
            <w:vAlign w:val="center"/>
          </w:tcPr>
          <w:p>
            <w:pPr>
              <w:keepNext/>
              <w:keepLines/>
              <w:spacing w:line="240" w:lineRule="atLeast"/>
              <w:ind w:firstLine="23" w:firstLineChars="11"/>
              <w:jc w:val="center"/>
              <w:rPr>
                <w:sz w:val="21"/>
                <w:szCs w:val="21"/>
              </w:rPr>
            </w:pPr>
            <w:r>
              <w:rPr>
                <w:rFonts w:hint="eastAsia"/>
                <w:sz w:val="21"/>
                <w:szCs w:val="21"/>
              </w:rPr>
              <w:t>清水河</w:t>
            </w:r>
          </w:p>
        </w:tc>
        <w:tc>
          <w:tcPr>
            <w:tcW w:w="417" w:type="pct"/>
            <w:vAlign w:val="center"/>
          </w:tcPr>
          <w:p>
            <w:pPr>
              <w:keepNext/>
              <w:keepLines/>
              <w:spacing w:line="240" w:lineRule="atLeast"/>
              <w:ind w:firstLine="23" w:firstLineChars="11"/>
              <w:jc w:val="center"/>
              <w:rPr>
                <w:sz w:val="21"/>
                <w:szCs w:val="21"/>
              </w:rPr>
            </w:pPr>
            <w:r>
              <w:rPr>
                <w:rFonts w:hint="eastAsia"/>
                <w:sz w:val="21"/>
                <w:szCs w:val="21"/>
              </w:rPr>
              <w:t>NW</w:t>
            </w:r>
          </w:p>
        </w:tc>
        <w:tc>
          <w:tcPr>
            <w:tcW w:w="936" w:type="pct"/>
            <w:gridSpan w:val="2"/>
            <w:vAlign w:val="center"/>
          </w:tcPr>
          <w:p>
            <w:pPr>
              <w:keepNext/>
              <w:keepLines/>
              <w:spacing w:line="240" w:lineRule="atLeast"/>
              <w:ind w:firstLine="23" w:firstLineChars="11"/>
              <w:jc w:val="center"/>
              <w:rPr>
                <w:sz w:val="21"/>
                <w:szCs w:val="21"/>
              </w:rPr>
            </w:pPr>
            <w:r>
              <w:rPr>
                <w:rFonts w:hint="eastAsia"/>
                <w:sz w:val="21"/>
                <w:szCs w:val="21"/>
              </w:rPr>
              <w:t>90m</w:t>
            </w:r>
          </w:p>
        </w:tc>
        <w:tc>
          <w:tcPr>
            <w:tcW w:w="1808" w:type="pct"/>
            <w:vAlign w:val="center"/>
          </w:tcPr>
          <w:p>
            <w:pPr>
              <w:keepNext/>
              <w:keepLines/>
              <w:spacing w:line="240" w:lineRule="atLeast"/>
              <w:ind w:left="-77" w:leftChars="-32" w:right="-86" w:rightChars="-36" w:firstLine="23" w:firstLineChars="11"/>
              <w:jc w:val="center"/>
              <w:rPr>
                <w:sz w:val="21"/>
                <w:szCs w:val="21"/>
              </w:rPr>
            </w:pPr>
            <w:r>
              <w:rPr>
                <w:rFonts w:hint="eastAsia"/>
                <w:sz w:val="21"/>
                <w:szCs w:val="21"/>
              </w:rPr>
              <w:t>《地表水环境质量标准》（</w:t>
            </w:r>
            <w:r>
              <w:rPr>
                <w:sz w:val="21"/>
                <w:szCs w:val="21"/>
              </w:rPr>
              <w:t>GB3838-2002）</w:t>
            </w:r>
            <w:r>
              <w:rPr>
                <w:rFonts w:hint="eastAsia" w:ascii="宋体" w:hAnsi="宋体"/>
                <w:bCs/>
                <w:spacing w:val="4"/>
              </w:rPr>
              <w:t>Ⅱ</w:t>
            </w:r>
            <w:r>
              <w:rPr>
                <w:rFonts w:hint="eastAsia"/>
                <w:sz w:val="21"/>
                <w:szCs w:val="21"/>
              </w:rPr>
              <w:t>类</w:t>
            </w:r>
            <w:r>
              <w:rPr>
                <w:sz w:val="21"/>
                <w:szCs w:val="21"/>
              </w:rPr>
              <w:t>水质标准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restart"/>
            <w:vAlign w:val="center"/>
          </w:tcPr>
          <w:p>
            <w:pPr>
              <w:keepNext/>
              <w:keepLines/>
              <w:spacing w:line="240" w:lineRule="atLeast"/>
              <w:ind w:firstLine="23" w:firstLineChars="11"/>
              <w:jc w:val="center"/>
              <w:rPr>
                <w:sz w:val="21"/>
                <w:szCs w:val="21"/>
              </w:rPr>
            </w:pPr>
            <w:r>
              <w:rPr>
                <w:rFonts w:hint="eastAsia"/>
                <w:sz w:val="21"/>
                <w:szCs w:val="21"/>
              </w:rPr>
              <w:t>3</w:t>
            </w:r>
          </w:p>
        </w:tc>
        <w:tc>
          <w:tcPr>
            <w:tcW w:w="643" w:type="pct"/>
            <w:vMerge w:val="restart"/>
            <w:vAlign w:val="center"/>
          </w:tcPr>
          <w:p>
            <w:pPr>
              <w:keepNext/>
              <w:keepLines/>
              <w:spacing w:line="240" w:lineRule="atLeast"/>
              <w:ind w:firstLine="23" w:firstLineChars="11"/>
              <w:jc w:val="center"/>
              <w:rPr>
                <w:sz w:val="21"/>
                <w:szCs w:val="21"/>
              </w:rPr>
            </w:pPr>
            <w:r>
              <w:rPr>
                <w:sz w:val="21"/>
                <w:szCs w:val="21"/>
              </w:rPr>
              <w:t>地下水</w:t>
            </w:r>
          </w:p>
        </w:tc>
        <w:tc>
          <w:tcPr>
            <w:tcW w:w="2167" w:type="pct"/>
            <w:gridSpan w:val="4"/>
            <w:vAlign w:val="center"/>
          </w:tcPr>
          <w:p>
            <w:pPr>
              <w:keepNext/>
              <w:keepLines/>
              <w:spacing w:line="240" w:lineRule="atLeast"/>
              <w:ind w:firstLine="23" w:firstLineChars="11"/>
              <w:jc w:val="center"/>
              <w:rPr>
                <w:sz w:val="21"/>
                <w:szCs w:val="21"/>
              </w:rPr>
            </w:pPr>
            <w:r>
              <w:rPr>
                <w:rFonts w:hint="eastAsia"/>
                <w:sz w:val="21"/>
                <w:szCs w:val="21"/>
              </w:rPr>
              <w:t>评价区域</w:t>
            </w:r>
            <w:r>
              <w:rPr>
                <w:sz w:val="21"/>
                <w:szCs w:val="21"/>
              </w:rPr>
              <w:t>地下水</w:t>
            </w:r>
          </w:p>
        </w:tc>
        <w:tc>
          <w:tcPr>
            <w:tcW w:w="1808" w:type="pct"/>
            <w:vMerge w:val="restart"/>
            <w:vAlign w:val="center"/>
          </w:tcPr>
          <w:p>
            <w:pPr>
              <w:keepNext/>
              <w:keepLines/>
              <w:spacing w:line="240" w:lineRule="atLeast"/>
              <w:ind w:firstLine="23" w:firstLineChars="11"/>
              <w:jc w:val="center"/>
              <w:rPr>
                <w:sz w:val="21"/>
                <w:szCs w:val="21"/>
              </w:rPr>
            </w:pPr>
            <w:r>
              <w:rPr>
                <w:rFonts w:hint="eastAsia"/>
                <w:sz w:val="21"/>
                <w:szCs w:val="21"/>
              </w:rPr>
              <w:t>《地下水质量标准》（</w:t>
            </w:r>
            <w:r>
              <w:rPr>
                <w:sz w:val="21"/>
                <w:szCs w:val="21"/>
              </w:rPr>
              <w:t>GB/T14848-93）Ⅲ类标准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2167" w:type="pct"/>
            <w:gridSpan w:val="4"/>
            <w:vAlign w:val="center"/>
          </w:tcPr>
          <w:p>
            <w:pPr>
              <w:keepNext/>
              <w:keepLines/>
              <w:spacing w:line="240" w:lineRule="atLeast"/>
              <w:ind w:firstLine="23" w:firstLineChars="11"/>
              <w:jc w:val="center"/>
              <w:rPr>
                <w:sz w:val="21"/>
                <w:szCs w:val="21"/>
              </w:rPr>
            </w:pPr>
            <w:r>
              <w:rPr>
                <w:rFonts w:hint="eastAsia"/>
                <w:sz w:val="21"/>
                <w:szCs w:val="21"/>
              </w:rPr>
              <w:t>西湾村水井</w:t>
            </w:r>
          </w:p>
        </w:tc>
        <w:tc>
          <w:tcPr>
            <w:tcW w:w="1808" w:type="pct"/>
            <w:vMerge w:val="continue"/>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2167" w:type="pct"/>
            <w:gridSpan w:val="4"/>
            <w:vAlign w:val="center"/>
          </w:tcPr>
          <w:p>
            <w:pPr>
              <w:keepNext/>
              <w:keepLines/>
              <w:spacing w:line="240" w:lineRule="atLeast"/>
              <w:ind w:firstLine="23" w:firstLineChars="11"/>
              <w:jc w:val="center"/>
              <w:rPr>
                <w:sz w:val="21"/>
                <w:szCs w:val="21"/>
              </w:rPr>
            </w:pPr>
            <w:r>
              <w:rPr>
                <w:rFonts w:hint="eastAsia"/>
                <w:sz w:val="21"/>
                <w:szCs w:val="21"/>
              </w:rPr>
              <w:t>规划光明寺饮用水水源地</w:t>
            </w:r>
          </w:p>
        </w:tc>
        <w:tc>
          <w:tcPr>
            <w:tcW w:w="1808" w:type="pct"/>
            <w:vMerge w:val="continue"/>
            <w:vAlign w:val="center"/>
          </w:tcPr>
          <w:p>
            <w:pPr>
              <w:keepNext/>
              <w:keepLines/>
              <w:spacing w:line="240" w:lineRule="atLeast"/>
              <w:ind w:firstLine="23" w:firstLineChars="11"/>
              <w:jc w:val="center"/>
              <w:rPr>
                <w:sz w:val="21"/>
                <w:szCs w:val="21"/>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Align w:val="center"/>
          </w:tcPr>
          <w:p>
            <w:pPr>
              <w:keepNext/>
              <w:keepLines/>
              <w:spacing w:line="240" w:lineRule="atLeast"/>
              <w:ind w:firstLine="23" w:firstLineChars="11"/>
              <w:jc w:val="center"/>
              <w:rPr>
                <w:sz w:val="21"/>
                <w:szCs w:val="21"/>
              </w:rPr>
            </w:pPr>
            <w:r>
              <w:rPr>
                <w:rFonts w:hint="eastAsia"/>
                <w:sz w:val="21"/>
                <w:szCs w:val="21"/>
              </w:rPr>
              <w:t>4</w:t>
            </w:r>
          </w:p>
        </w:tc>
        <w:tc>
          <w:tcPr>
            <w:tcW w:w="643" w:type="pct"/>
            <w:vAlign w:val="center"/>
          </w:tcPr>
          <w:p>
            <w:pPr>
              <w:keepNext/>
              <w:keepLines/>
              <w:spacing w:line="240" w:lineRule="atLeast"/>
              <w:ind w:firstLine="23" w:firstLineChars="11"/>
              <w:jc w:val="center"/>
              <w:rPr>
                <w:sz w:val="21"/>
                <w:szCs w:val="21"/>
              </w:rPr>
            </w:pPr>
            <w:r>
              <w:rPr>
                <w:sz w:val="21"/>
                <w:szCs w:val="21"/>
              </w:rPr>
              <w:t>声环境</w:t>
            </w:r>
          </w:p>
        </w:tc>
        <w:tc>
          <w:tcPr>
            <w:tcW w:w="2167" w:type="pct"/>
            <w:gridSpan w:val="4"/>
            <w:vAlign w:val="center"/>
          </w:tcPr>
          <w:p>
            <w:pPr>
              <w:keepNext/>
              <w:keepLines/>
              <w:spacing w:line="240" w:lineRule="atLeast"/>
              <w:ind w:firstLine="23" w:firstLineChars="11"/>
              <w:jc w:val="center"/>
              <w:rPr>
                <w:sz w:val="21"/>
                <w:szCs w:val="21"/>
              </w:rPr>
            </w:pPr>
            <w:r>
              <w:rPr>
                <w:rFonts w:hint="eastAsia"/>
                <w:sz w:val="21"/>
                <w:szCs w:val="21"/>
              </w:rPr>
              <w:t>场界四周</w:t>
            </w:r>
          </w:p>
        </w:tc>
        <w:tc>
          <w:tcPr>
            <w:tcW w:w="1808" w:type="pct"/>
            <w:vAlign w:val="center"/>
          </w:tcPr>
          <w:p>
            <w:pPr>
              <w:keepNext/>
              <w:keepLines/>
              <w:spacing w:line="240" w:lineRule="atLeast"/>
              <w:ind w:firstLine="23" w:firstLineChars="11"/>
              <w:jc w:val="center"/>
              <w:rPr>
                <w:sz w:val="21"/>
                <w:szCs w:val="21"/>
              </w:rPr>
            </w:pPr>
            <w:r>
              <w:rPr>
                <w:rFonts w:hint="eastAsia"/>
                <w:sz w:val="21"/>
                <w:szCs w:val="21"/>
              </w:rPr>
              <w:t>《声环境质量标准》（</w:t>
            </w:r>
            <w:r>
              <w:rPr>
                <w:sz w:val="21"/>
                <w:szCs w:val="21"/>
              </w:rPr>
              <w:t>GB3096-2008）</w:t>
            </w:r>
            <w:r>
              <w:rPr>
                <w:rFonts w:hint="eastAsia"/>
                <w:sz w:val="21"/>
                <w:szCs w:val="21"/>
              </w:rPr>
              <w:t>1</w:t>
            </w:r>
            <w:r>
              <w:rPr>
                <w:sz w:val="21"/>
                <w:szCs w:val="21"/>
              </w:rPr>
              <w:t>类</w:t>
            </w:r>
            <w:r>
              <w:rPr>
                <w:rFonts w:hint="eastAsia"/>
                <w:sz w:val="21"/>
                <w:szCs w:val="21"/>
              </w:rPr>
              <w:t>标准</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restart"/>
            <w:vAlign w:val="center"/>
          </w:tcPr>
          <w:p>
            <w:pPr>
              <w:keepNext/>
              <w:keepLines/>
              <w:spacing w:line="240" w:lineRule="atLeast"/>
              <w:ind w:firstLine="23" w:firstLineChars="11"/>
              <w:jc w:val="center"/>
              <w:rPr>
                <w:sz w:val="21"/>
                <w:szCs w:val="21"/>
              </w:rPr>
            </w:pPr>
            <w:r>
              <w:rPr>
                <w:rFonts w:hint="eastAsia"/>
                <w:sz w:val="21"/>
                <w:szCs w:val="21"/>
              </w:rPr>
              <w:t>5</w:t>
            </w:r>
          </w:p>
        </w:tc>
        <w:tc>
          <w:tcPr>
            <w:tcW w:w="643" w:type="pct"/>
            <w:vMerge w:val="restart"/>
            <w:vAlign w:val="center"/>
          </w:tcPr>
          <w:p>
            <w:pPr>
              <w:keepNext/>
              <w:keepLines/>
              <w:spacing w:line="240" w:lineRule="atLeast"/>
              <w:ind w:firstLine="23" w:firstLineChars="11"/>
              <w:jc w:val="center"/>
              <w:rPr>
                <w:sz w:val="21"/>
                <w:szCs w:val="21"/>
              </w:rPr>
            </w:pPr>
            <w:r>
              <w:rPr>
                <w:sz w:val="21"/>
                <w:szCs w:val="21"/>
              </w:rPr>
              <w:t>生态环境</w:t>
            </w:r>
          </w:p>
        </w:tc>
        <w:tc>
          <w:tcPr>
            <w:tcW w:w="2167" w:type="pct"/>
            <w:gridSpan w:val="4"/>
            <w:vAlign w:val="center"/>
          </w:tcPr>
          <w:p>
            <w:pPr>
              <w:keepNext/>
              <w:keepLines/>
              <w:spacing w:line="240" w:lineRule="atLeast"/>
              <w:ind w:firstLine="23" w:firstLineChars="11"/>
              <w:jc w:val="center"/>
              <w:rPr>
                <w:sz w:val="21"/>
                <w:szCs w:val="21"/>
              </w:rPr>
            </w:pPr>
            <w:r>
              <w:rPr>
                <w:rFonts w:hint="eastAsia" w:ascii="宋体" w:cs="宋体"/>
                <w:kern w:val="0"/>
                <w:position w:val="0"/>
                <w:sz w:val="21"/>
                <w:szCs w:val="21"/>
              </w:rPr>
              <w:t>五台山风景名胜区</w:t>
            </w:r>
          </w:p>
        </w:tc>
        <w:tc>
          <w:tcPr>
            <w:tcW w:w="1808" w:type="pct"/>
            <w:vAlign w:val="center"/>
          </w:tcPr>
          <w:p>
            <w:pPr>
              <w:keepNext/>
              <w:keepLines/>
              <w:spacing w:line="240" w:lineRule="atLeast"/>
              <w:ind w:firstLine="23" w:firstLineChars="11"/>
              <w:jc w:val="center"/>
              <w:rPr>
                <w:sz w:val="21"/>
                <w:szCs w:val="21"/>
              </w:rPr>
            </w:pPr>
            <w:r>
              <w:rPr>
                <w:rFonts w:hint="eastAsia"/>
                <w:sz w:val="21"/>
                <w:szCs w:val="21"/>
              </w:rPr>
              <w:t>在严格控制项目生态影响的前提下，加强区域生态建设，促进区域生态环境改善。</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vAlign w:val="center"/>
          </w:tcPr>
          <w:p>
            <w:pPr>
              <w:keepNext/>
              <w:keepLines/>
              <w:spacing w:line="240" w:lineRule="atLeast"/>
              <w:ind w:firstLine="23" w:firstLineChars="11"/>
              <w:jc w:val="center"/>
              <w:rPr>
                <w:sz w:val="21"/>
                <w:szCs w:val="21"/>
              </w:rPr>
            </w:pPr>
            <w:r>
              <w:rPr>
                <w:rFonts w:hint="eastAsia"/>
                <w:sz w:val="21"/>
                <w:szCs w:val="21"/>
              </w:rPr>
              <w:t>五台山国家级森林公园</w:t>
            </w:r>
          </w:p>
        </w:tc>
        <w:tc>
          <w:tcPr>
            <w:tcW w:w="1353" w:type="pct"/>
            <w:gridSpan w:val="3"/>
            <w:vAlign w:val="center"/>
          </w:tcPr>
          <w:p>
            <w:pPr>
              <w:keepNext/>
              <w:keepLines/>
              <w:spacing w:line="240" w:lineRule="atLeast"/>
              <w:ind w:firstLine="23" w:firstLineChars="11"/>
              <w:jc w:val="center"/>
              <w:rPr>
                <w:sz w:val="21"/>
                <w:szCs w:val="21"/>
              </w:rPr>
            </w:pPr>
            <w:r>
              <w:rPr>
                <w:rFonts w:hint="eastAsia"/>
                <w:sz w:val="21"/>
                <w:szCs w:val="21"/>
              </w:rPr>
              <w:t>/</w:t>
            </w:r>
          </w:p>
        </w:tc>
        <w:tc>
          <w:tcPr>
            <w:tcW w:w="1808" w:type="pct"/>
            <w:vAlign w:val="center"/>
          </w:tcPr>
          <w:p>
            <w:pPr>
              <w:keepNext/>
              <w:keepLines/>
              <w:spacing w:line="240" w:lineRule="atLeast"/>
              <w:ind w:firstLine="23" w:firstLineChars="11"/>
              <w:jc w:val="center"/>
              <w:rPr>
                <w:sz w:val="21"/>
                <w:szCs w:val="21"/>
              </w:rPr>
            </w:pPr>
            <w:r>
              <w:rPr>
                <w:rFonts w:hint="eastAsia"/>
                <w:sz w:val="21"/>
                <w:szCs w:val="21"/>
              </w:rPr>
              <w:t>项目营运期不对其产生影响</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vAlign w:val="center"/>
          </w:tcPr>
          <w:p>
            <w:pPr>
              <w:keepNext/>
              <w:keepLines/>
              <w:spacing w:line="240" w:lineRule="atLeast"/>
              <w:ind w:firstLine="23" w:firstLineChars="11"/>
              <w:jc w:val="center"/>
              <w:rPr>
                <w:sz w:val="21"/>
                <w:szCs w:val="21"/>
              </w:rPr>
            </w:pPr>
            <w:r>
              <w:rPr>
                <w:rFonts w:hint="eastAsia"/>
                <w:sz w:val="21"/>
                <w:szCs w:val="21"/>
              </w:rPr>
              <w:t>五台山国家地质公园</w:t>
            </w:r>
          </w:p>
        </w:tc>
        <w:tc>
          <w:tcPr>
            <w:tcW w:w="1353" w:type="pct"/>
            <w:gridSpan w:val="3"/>
            <w:vAlign w:val="center"/>
          </w:tcPr>
          <w:p>
            <w:pPr>
              <w:autoSpaceDE w:val="0"/>
              <w:autoSpaceDN w:val="0"/>
              <w:adjustRightInd w:val="0"/>
              <w:spacing w:line="240" w:lineRule="atLeast"/>
              <w:ind w:firstLine="23" w:firstLineChars="0"/>
              <w:jc w:val="center"/>
              <w:rPr>
                <w:sz w:val="21"/>
                <w:szCs w:val="21"/>
              </w:rPr>
            </w:pPr>
            <w:r>
              <w:rPr>
                <w:rFonts w:hint="eastAsia"/>
                <w:sz w:val="21"/>
                <w:szCs w:val="21"/>
              </w:rPr>
              <w:t>位于东台景区，不在地质遗迹景观一级、二级保护区内</w:t>
            </w:r>
          </w:p>
        </w:tc>
        <w:tc>
          <w:tcPr>
            <w:tcW w:w="1808" w:type="pct"/>
            <w:vAlign w:val="center"/>
          </w:tcPr>
          <w:p>
            <w:pPr>
              <w:keepNext/>
              <w:keepLines/>
              <w:spacing w:line="240" w:lineRule="atLeast"/>
              <w:ind w:firstLine="23" w:firstLineChars="11"/>
              <w:jc w:val="center"/>
              <w:rPr>
                <w:sz w:val="21"/>
                <w:szCs w:val="21"/>
              </w:rPr>
            </w:pPr>
            <w:r>
              <w:rPr>
                <w:rFonts w:hint="eastAsia"/>
                <w:sz w:val="21"/>
                <w:szCs w:val="21"/>
              </w:rPr>
              <w:t>项目营运期不对其产生影响</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381" w:type="pct"/>
            <w:vMerge w:val="continue"/>
            <w:vAlign w:val="center"/>
          </w:tcPr>
          <w:p>
            <w:pPr>
              <w:keepNext/>
              <w:keepLines/>
              <w:spacing w:line="240" w:lineRule="atLeast"/>
              <w:ind w:firstLine="23" w:firstLineChars="11"/>
              <w:jc w:val="center"/>
              <w:rPr>
                <w:sz w:val="21"/>
                <w:szCs w:val="21"/>
              </w:rPr>
            </w:pPr>
          </w:p>
        </w:tc>
        <w:tc>
          <w:tcPr>
            <w:tcW w:w="643" w:type="pct"/>
            <w:vMerge w:val="continue"/>
            <w:vAlign w:val="center"/>
          </w:tcPr>
          <w:p>
            <w:pPr>
              <w:keepNext/>
              <w:keepLines/>
              <w:spacing w:line="240" w:lineRule="atLeast"/>
              <w:ind w:firstLine="23" w:firstLineChars="11"/>
              <w:jc w:val="center"/>
              <w:rPr>
                <w:sz w:val="21"/>
                <w:szCs w:val="21"/>
              </w:rPr>
            </w:pPr>
          </w:p>
        </w:tc>
        <w:tc>
          <w:tcPr>
            <w:tcW w:w="815" w:type="pct"/>
            <w:vAlign w:val="center"/>
          </w:tcPr>
          <w:p>
            <w:pPr>
              <w:keepNext/>
              <w:keepLines/>
              <w:spacing w:line="240" w:lineRule="atLeast"/>
              <w:ind w:firstLine="23" w:firstLineChars="11"/>
              <w:jc w:val="center"/>
              <w:rPr>
                <w:sz w:val="21"/>
                <w:szCs w:val="21"/>
              </w:rPr>
            </w:pPr>
            <w:r>
              <w:rPr>
                <w:rFonts w:hint="eastAsia"/>
                <w:sz w:val="21"/>
                <w:szCs w:val="21"/>
              </w:rPr>
              <w:t>五台山世界文化景观遗产地</w:t>
            </w:r>
          </w:p>
        </w:tc>
        <w:tc>
          <w:tcPr>
            <w:tcW w:w="1353" w:type="pct"/>
            <w:gridSpan w:val="3"/>
            <w:vAlign w:val="center"/>
          </w:tcPr>
          <w:p>
            <w:pPr>
              <w:keepNext/>
              <w:keepLines/>
              <w:spacing w:line="240" w:lineRule="atLeast"/>
              <w:ind w:firstLine="23" w:firstLineChars="11"/>
              <w:jc w:val="center"/>
              <w:rPr>
                <w:sz w:val="21"/>
                <w:szCs w:val="21"/>
              </w:rPr>
            </w:pPr>
            <w:r>
              <w:rPr>
                <w:rFonts w:hint="eastAsia"/>
                <w:sz w:val="21"/>
                <w:szCs w:val="21"/>
              </w:rPr>
              <w:t>不在核心区范围内，位于缓冲区</w:t>
            </w:r>
          </w:p>
        </w:tc>
        <w:tc>
          <w:tcPr>
            <w:tcW w:w="1808" w:type="pct"/>
            <w:vAlign w:val="center"/>
          </w:tcPr>
          <w:p>
            <w:pPr>
              <w:autoSpaceDE w:val="0"/>
              <w:autoSpaceDN w:val="0"/>
              <w:adjustRightInd w:val="0"/>
              <w:spacing w:line="240" w:lineRule="atLeast"/>
              <w:ind w:firstLine="23" w:firstLineChars="0"/>
              <w:jc w:val="center"/>
              <w:rPr>
                <w:sz w:val="21"/>
                <w:szCs w:val="21"/>
              </w:rPr>
            </w:pPr>
            <w:r>
              <w:rPr>
                <w:rFonts w:hint="eastAsia"/>
                <w:sz w:val="21"/>
                <w:szCs w:val="21"/>
              </w:rPr>
              <w:t>禁止任何与文物保护无关的建设工程或者爆破、钻探、挖掘等作业</w:t>
            </w:r>
          </w:p>
        </w:tc>
      </w:tr>
    </w:tbl>
    <w:p>
      <w:pPr>
        <w:keepNext/>
        <w:keepLines/>
        <w:ind w:firstLine="480"/>
        <w:jc w:val="left"/>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tbl>
      <w:tblPr>
        <w:tblStyle w:val="49"/>
        <w:tblpPr w:leftFromText="180" w:rightFromText="180" w:vertAnchor="text" w:horzAnchor="margin" w:tblpX="78" w:tblpY="-49"/>
        <w:tblW w:w="490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1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241" w:type="pct"/>
            <w:tcBorders>
              <w:bottom w:val="single" w:color="auto" w:sz="4" w:space="0"/>
            </w:tcBorders>
            <w:shd w:val="clear" w:color="auto" w:fill="auto"/>
            <w:vAlign w:val="center"/>
          </w:tcPr>
          <w:p>
            <w:pPr>
              <w:spacing w:line="312" w:lineRule="exact"/>
              <w:ind w:left="-60" w:leftChars="-25" w:right="-60" w:rightChars="-25" w:firstLine="23" w:firstLineChars="11"/>
              <w:rPr>
                <w:sz w:val="21"/>
                <w:szCs w:val="21"/>
              </w:rPr>
            </w:pPr>
            <w:r>
              <w:rPr>
                <w:sz w:val="21"/>
                <w:szCs w:val="21"/>
              </w:rPr>
              <w:t>环境质量标准</w:t>
            </w:r>
          </w:p>
        </w:tc>
        <w:tc>
          <w:tcPr>
            <w:tcW w:w="4759" w:type="pct"/>
            <w:tcBorders>
              <w:bottom w:val="single" w:color="auto" w:sz="4" w:space="0"/>
            </w:tcBorders>
            <w:shd w:val="clear" w:color="auto" w:fill="auto"/>
            <w:vAlign w:val="center"/>
          </w:tcPr>
          <w:p>
            <w:pPr>
              <w:ind w:firstLine="480"/>
            </w:pPr>
            <w:r>
              <w:rPr>
                <w:rFonts w:hint="eastAsia"/>
              </w:rPr>
              <w:t>1、环境空气</w:t>
            </w:r>
          </w:p>
          <w:p>
            <w:pPr>
              <w:ind w:firstLine="480"/>
            </w:pPr>
            <w:r>
              <w:rPr>
                <w:rFonts w:hint="eastAsia"/>
              </w:rPr>
              <w:t>本项目所在地为五台山风景名胜区，根据《环境空气标准》（GB3095-2012）中环境空气功能区分类，本项目所在区域为环境空气质量一类区，执行《环境空气标准》（GB3095-2012）一级标准。具体标准值见表8。</w:t>
            </w:r>
          </w:p>
          <w:p>
            <w:pPr>
              <w:pStyle w:val="7"/>
              <w:spacing w:line="400" w:lineRule="exact"/>
              <w:rPr>
                <w:color w:val="auto"/>
                <w:sz w:val="21"/>
                <w:szCs w:val="21"/>
              </w:rPr>
            </w:pPr>
            <w:r>
              <w:rPr>
                <w:rFonts w:hint="eastAsia"/>
                <w:color w:val="auto"/>
                <w:sz w:val="21"/>
                <w:szCs w:val="21"/>
              </w:rPr>
              <w:t>表8  环境空气质量标准（GB3095－2012）一级标准</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42"/>
              <w:gridCol w:w="2084"/>
              <w:gridCol w:w="2565"/>
              <w:gridCol w:w="12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1291" w:type="pct"/>
                  <w:vAlign w:val="center"/>
                </w:tcPr>
                <w:p>
                  <w:pPr>
                    <w:keepNext/>
                    <w:keepLines/>
                    <w:spacing w:line="340" w:lineRule="exact"/>
                    <w:ind w:firstLine="23" w:firstLineChars="11"/>
                    <w:jc w:val="center"/>
                    <w:rPr>
                      <w:sz w:val="21"/>
                      <w:szCs w:val="21"/>
                    </w:rPr>
                  </w:pPr>
                  <w:r>
                    <w:rPr>
                      <w:sz w:val="21"/>
                      <w:szCs w:val="21"/>
                    </w:rPr>
                    <w:t>污染物名称</w:t>
                  </w:r>
                </w:p>
              </w:tc>
              <w:tc>
                <w:tcPr>
                  <w:tcW w:w="1317" w:type="pct"/>
                  <w:vAlign w:val="center"/>
                </w:tcPr>
                <w:p>
                  <w:pPr>
                    <w:keepNext/>
                    <w:keepLines/>
                    <w:spacing w:line="340" w:lineRule="exact"/>
                    <w:ind w:firstLine="23" w:firstLineChars="11"/>
                    <w:jc w:val="center"/>
                    <w:rPr>
                      <w:sz w:val="21"/>
                      <w:szCs w:val="21"/>
                    </w:rPr>
                  </w:pPr>
                  <w:r>
                    <w:rPr>
                      <w:sz w:val="21"/>
                      <w:szCs w:val="21"/>
                    </w:rPr>
                    <w:t>取</w:t>
                  </w:r>
                  <w:r>
                    <w:rPr>
                      <w:rFonts w:hint="eastAsia"/>
                      <w:sz w:val="21"/>
                      <w:szCs w:val="21"/>
                    </w:rPr>
                    <w:t>值</w:t>
                  </w:r>
                  <w:r>
                    <w:rPr>
                      <w:sz w:val="21"/>
                      <w:szCs w:val="21"/>
                    </w:rPr>
                    <w:t>时间</w:t>
                  </w:r>
                </w:p>
              </w:tc>
              <w:tc>
                <w:tcPr>
                  <w:tcW w:w="1621" w:type="pct"/>
                  <w:vAlign w:val="center"/>
                </w:tcPr>
                <w:p>
                  <w:pPr>
                    <w:keepNext/>
                    <w:keepLines/>
                    <w:spacing w:line="340" w:lineRule="exact"/>
                    <w:ind w:firstLine="23" w:firstLineChars="11"/>
                    <w:jc w:val="center"/>
                    <w:rPr>
                      <w:sz w:val="21"/>
                      <w:szCs w:val="21"/>
                    </w:rPr>
                  </w:pPr>
                  <w:r>
                    <w:rPr>
                      <w:rFonts w:hint="eastAsia"/>
                      <w:sz w:val="21"/>
                      <w:szCs w:val="21"/>
                    </w:rPr>
                    <w:t>一</w:t>
                  </w:r>
                  <w:r>
                    <w:rPr>
                      <w:sz w:val="21"/>
                      <w:szCs w:val="21"/>
                    </w:rPr>
                    <w:t>级标准浓度限值</w:t>
                  </w:r>
                </w:p>
              </w:tc>
              <w:tc>
                <w:tcPr>
                  <w:tcW w:w="772" w:type="pct"/>
                  <w:vAlign w:val="center"/>
                </w:tcPr>
                <w:p>
                  <w:pPr>
                    <w:keepNext/>
                    <w:keepLines/>
                    <w:spacing w:line="340" w:lineRule="exact"/>
                    <w:ind w:firstLine="23" w:firstLineChars="11"/>
                    <w:jc w:val="center"/>
                    <w:rPr>
                      <w:sz w:val="21"/>
                      <w:szCs w:val="21"/>
                    </w:rPr>
                  </w:pPr>
                  <w:r>
                    <w:rPr>
                      <w:sz w:val="21"/>
                      <w:szCs w:val="21"/>
                    </w:rPr>
                    <w:t>浓度单位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1" w:type="pct"/>
                  <w:vAlign w:val="center"/>
                </w:tcPr>
                <w:p>
                  <w:pPr>
                    <w:keepNext/>
                    <w:keepLines/>
                    <w:spacing w:line="340" w:lineRule="exact"/>
                    <w:ind w:firstLine="23" w:firstLineChars="11"/>
                    <w:jc w:val="center"/>
                    <w:rPr>
                      <w:sz w:val="21"/>
                      <w:szCs w:val="21"/>
                    </w:rPr>
                  </w:pPr>
                  <w:r>
                    <w:rPr>
                      <w:sz w:val="21"/>
                      <w:szCs w:val="21"/>
                    </w:rPr>
                    <w:t>SO</w:t>
                  </w:r>
                  <w:r>
                    <w:rPr>
                      <w:sz w:val="21"/>
                      <w:szCs w:val="21"/>
                      <w:vertAlign w:val="subscript"/>
                    </w:rPr>
                    <w:t>2</w:t>
                  </w:r>
                </w:p>
              </w:tc>
              <w:tc>
                <w:tcPr>
                  <w:tcW w:w="1317" w:type="pct"/>
                  <w:vAlign w:val="center"/>
                </w:tcPr>
                <w:p>
                  <w:pPr>
                    <w:keepNext/>
                    <w:keepLines/>
                    <w:spacing w:line="340" w:lineRule="exact"/>
                    <w:ind w:firstLine="23" w:firstLineChars="11"/>
                    <w:jc w:val="center"/>
                    <w:rPr>
                      <w:sz w:val="21"/>
                      <w:szCs w:val="21"/>
                    </w:rPr>
                  </w:pPr>
                  <w:r>
                    <w:rPr>
                      <w:sz w:val="21"/>
                      <w:szCs w:val="21"/>
                    </w:rPr>
                    <w:t>年平均</w:t>
                  </w:r>
                </w:p>
                <w:p>
                  <w:pPr>
                    <w:keepNext/>
                    <w:keepLines/>
                    <w:spacing w:line="340" w:lineRule="exact"/>
                    <w:ind w:firstLine="23" w:firstLineChars="11"/>
                    <w:jc w:val="center"/>
                    <w:rPr>
                      <w:sz w:val="21"/>
                      <w:szCs w:val="21"/>
                    </w:rPr>
                  </w:pPr>
                  <w:r>
                    <w:rPr>
                      <w:rFonts w:hint="eastAsia"/>
                      <w:sz w:val="21"/>
                      <w:szCs w:val="21"/>
                    </w:rPr>
                    <w:t>24小时</w:t>
                  </w:r>
                  <w:r>
                    <w:rPr>
                      <w:sz w:val="21"/>
                      <w:szCs w:val="21"/>
                    </w:rPr>
                    <w:t>平均</w:t>
                  </w:r>
                </w:p>
                <w:p>
                  <w:pPr>
                    <w:keepNext/>
                    <w:keepLines/>
                    <w:spacing w:line="340" w:lineRule="exact"/>
                    <w:ind w:firstLine="23" w:firstLineChars="11"/>
                    <w:jc w:val="center"/>
                    <w:rPr>
                      <w:sz w:val="21"/>
                      <w:szCs w:val="21"/>
                    </w:rPr>
                  </w:pPr>
                  <w:r>
                    <w:rPr>
                      <w:rFonts w:hint="eastAsia"/>
                      <w:sz w:val="21"/>
                      <w:szCs w:val="21"/>
                    </w:rPr>
                    <w:t>1</w:t>
                  </w:r>
                  <w:r>
                    <w:rPr>
                      <w:sz w:val="21"/>
                      <w:szCs w:val="21"/>
                    </w:rPr>
                    <w:t>小时平均</w:t>
                  </w:r>
                </w:p>
              </w:tc>
              <w:tc>
                <w:tcPr>
                  <w:tcW w:w="1621" w:type="pct"/>
                  <w:vAlign w:val="center"/>
                </w:tcPr>
                <w:p>
                  <w:pPr>
                    <w:keepNext/>
                    <w:keepLines/>
                    <w:spacing w:line="340" w:lineRule="exact"/>
                    <w:ind w:firstLine="23" w:firstLineChars="11"/>
                    <w:jc w:val="center"/>
                    <w:rPr>
                      <w:sz w:val="21"/>
                      <w:szCs w:val="21"/>
                    </w:rPr>
                  </w:pPr>
                  <w:r>
                    <w:rPr>
                      <w:rFonts w:hint="eastAsia"/>
                      <w:sz w:val="21"/>
                      <w:szCs w:val="21"/>
                    </w:rPr>
                    <w:t>20</w:t>
                  </w:r>
                </w:p>
                <w:p>
                  <w:pPr>
                    <w:keepNext/>
                    <w:keepLines/>
                    <w:spacing w:line="340" w:lineRule="exact"/>
                    <w:ind w:firstLine="23" w:firstLineChars="11"/>
                    <w:jc w:val="center"/>
                    <w:rPr>
                      <w:sz w:val="21"/>
                      <w:szCs w:val="21"/>
                    </w:rPr>
                  </w:pPr>
                  <w:r>
                    <w:rPr>
                      <w:rFonts w:hint="eastAsia"/>
                      <w:sz w:val="21"/>
                      <w:szCs w:val="21"/>
                    </w:rPr>
                    <w:t>50</w:t>
                  </w:r>
                </w:p>
                <w:p>
                  <w:pPr>
                    <w:keepNext/>
                    <w:keepLines/>
                    <w:spacing w:line="340" w:lineRule="exact"/>
                    <w:ind w:firstLine="23" w:firstLineChars="11"/>
                    <w:jc w:val="center"/>
                    <w:rPr>
                      <w:sz w:val="21"/>
                      <w:szCs w:val="21"/>
                    </w:rPr>
                  </w:pPr>
                  <w:r>
                    <w:rPr>
                      <w:rFonts w:hint="eastAsia"/>
                      <w:sz w:val="21"/>
                      <w:szCs w:val="21"/>
                    </w:rPr>
                    <w:t>150</w:t>
                  </w:r>
                </w:p>
              </w:tc>
              <w:tc>
                <w:tcPr>
                  <w:tcW w:w="772" w:type="pct"/>
                  <w:vMerge w:val="restart"/>
                  <w:vAlign w:val="center"/>
                </w:tcPr>
                <w:p>
                  <w:pPr>
                    <w:keepNext/>
                    <w:keepLines/>
                    <w:spacing w:line="340" w:lineRule="exact"/>
                    <w:ind w:firstLine="23" w:firstLineChars="11"/>
                    <w:jc w:val="center"/>
                    <w:rPr>
                      <w:sz w:val="21"/>
                      <w:szCs w:val="21"/>
                    </w:rPr>
                  </w:pPr>
                  <w:r>
                    <w:rPr>
                      <w:sz w:val="21"/>
                      <w:szCs w:val="21"/>
                    </w:rPr>
                    <w:t>μg/Nm</w:t>
                  </w:r>
                  <w:r>
                    <w:rPr>
                      <w:sz w:val="21"/>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1" w:type="pct"/>
                  <w:vAlign w:val="center"/>
                </w:tcPr>
                <w:p>
                  <w:pPr>
                    <w:keepNext/>
                    <w:keepLines/>
                    <w:spacing w:line="340" w:lineRule="exact"/>
                    <w:ind w:firstLine="23" w:firstLineChars="11"/>
                    <w:jc w:val="center"/>
                    <w:rPr>
                      <w:sz w:val="21"/>
                      <w:szCs w:val="21"/>
                    </w:rPr>
                  </w:pPr>
                  <w:r>
                    <w:rPr>
                      <w:sz w:val="21"/>
                      <w:szCs w:val="21"/>
                    </w:rPr>
                    <w:t>PM</w:t>
                  </w:r>
                  <w:r>
                    <w:rPr>
                      <w:rFonts w:hint="eastAsia"/>
                      <w:sz w:val="21"/>
                      <w:szCs w:val="21"/>
                      <w:vertAlign w:val="subscript"/>
                    </w:rPr>
                    <w:t>2.5</w:t>
                  </w:r>
                </w:p>
              </w:tc>
              <w:tc>
                <w:tcPr>
                  <w:tcW w:w="1317" w:type="pct"/>
                  <w:vAlign w:val="center"/>
                </w:tcPr>
                <w:p>
                  <w:pPr>
                    <w:keepNext/>
                    <w:keepLines/>
                    <w:spacing w:line="340" w:lineRule="exact"/>
                    <w:ind w:firstLine="23" w:firstLineChars="11"/>
                    <w:jc w:val="center"/>
                    <w:rPr>
                      <w:sz w:val="21"/>
                      <w:szCs w:val="21"/>
                    </w:rPr>
                  </w:pPr>
                  <w:r>
                    <w:rPr>
                      <w:sz w:val="21"/>
                      <w:szCs w:val="21"/>
                    </w:rPr>
                    <w:t>年平均</w:t>
                  </w:r>
                </w:p>
                <w:p>
                  <w:pPr>
                    <w:keepNext/>
                    <w:keepLines/>
                    <w:spacing w:line="340" w:lineRule="exact"/>
                    <w:ind w:firstLine="23" w:firstLineChars="11"/>
                    <w:jc w:val="center"/>
                    <w:rPr>
                      <w:sz w:val="21"/>
                      <w:szCs w:val="21"/>
                    </w:rPr>
                  </w:pPr>
                  <w:r>
                    <w:rPr>
                      <w:rFonts w:hint="eastAsia"/>
                      <w:sz w:val="21"/>
                      <w:szCs w:val="21"/>
                    </w:rPr>
                    <w:t>24小时</w:t>
                  </w:r>
                  <w:r>
                    <w:rPr>
                      <w:sz w:val="21"/>
                      <w:szCs w:val="21"/>
                    </w:rPr>
                    <w:t>平均</w:t>
                  </w:r>
                </w:p>
              </w:tc>
              <w:tc>
                <w:tcPr>
                  <w:tcW w:w="1621" w:type="pct"/>
                  <w:vAlign w:val="center"/>
                </w:tcPr>
                <w:p>
                  <w:pPr>
                    <w:keepNext/>
                    <w:keepLines/>
                    <w:spacing w:line="340" w:lineRule="exact"/>
                    <w:ind w:firstLine="23" w:firstLineChars="11"/>
                    <w:jc w:val="center"/>
                    <w:rPr>
                      <w:sz w:val="21"/>
                      <w:szCs w:val="21"/>
                    </w:rPr>
                  </w:pPr>
                  <w:r>
                    <w:rPr>
                      <w:rFonts w:hint="eastAsia"/>
                      <w:sz w:val="21"/>
                      <w:szCs w:val="21"/>
                    </w:rPr>
                    <w:t>15</w:t>
                  </w:r>
                </w:p>
                <w:p>
                  <w:pPr>
                    <w:keepNext/>
                    <w:keepLines/>
                    <w:spacing w:line="340" w:lineRule="exact"/>
                    <w:ind w:firstLine="23" w:firstLineChars="11"/>
                    <w:jc w:val="center"/>
                    <w:rPr>
                      <w:sz w:val="21"/>
                      <w:szCs w:val="21"/>
                    </w:rPr>
                  </w:pPr>
                  <w:r>
                    <w:rPr>
                      <w:rFonts w:hint="eastAsia"/>
                      <w:sz w:val="21"/>
                      <w:szCs w:val="21"/>
                    </w:rPr>
                    <w:t>35</w:t>
                  </w:r>
                </w:p>
              </w:tc>
              <w:tc>
                <w:tcPr>
                  <w:tcW w:w="772" w:type="pct"/>
                  <w:vMerge w:val="continue"/>
                  <w:vAlign w:val="center"/>
                </w:tcPr>
                <w:p>
                  <w:pPr>
                    <w:pStyle w:val="81"/>
                    <w:ind w:left="0" w:leftChars="0" w:firstLine="422"/>
                    <w:rPr>
                      <w:b/>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1" w:type="pct"/>
                  <w:vAlign w:val="center"/>
                </w:tcPr>
                <w:p>
                  <w:pPr>
                    <w:keepNext/>
                    <w:keepLines/>
                    <w:spacing w:line="340" w:lineRule="exact"/>
                    <w:ind w:firstLine="23" w:firstLineChars="11"/>
                    <w:jc w:val="center"/>
                    <w:rPr>
                      <w:sz w:val="21"/>
                      <w:szCs w:val="21"/>
                    </w:rPr>
                  </w:pPr>
                  <w:r>
                    <w:rPr>
                      <w:sz w:val="21"/>
                      <w:szCs w:val="21"/>
                    </w:rPr>
                    <w:t>PM</w:t>
                  </w:r>
                  <w:r>
                    <w:rPr>
                      <w:sz w:val="21"/>
                      <w:szCs w:val="21"/>
                      <w:vertAlign w:val="subscript"/>
                    </w:rPr>
                    <w:t>10</w:t>
                  </w:r>
                </w:p>
              </w:tc>
              <w:tc>
                <w:tcPr>
                  <w:tcW w:w="1317" w:type="pct"/>
                  <w:vAlign w:val="center"/>
                </w:tcPr>
                <w:p>
                  <w:pPr>
                    <w:keepNext/>
                    <w:keepLines/>
                    <w:spacing w:line="340" w:lineRule="exact"/>
                    <w:ind w:firstLine="23" w:firstLineChars="11"/>
                    <w:jc w:val="center"/>
                    <w:rPr>
                      <w:sz w:val="21"/>
                      <w:szCs w:val="21"/>
                    </w:rPr>
                  </w:pPr>
                  <w:r>
                    <w:rPr>
                      <w:sz w:val="21"/>
                      <w:szCs w:val="21"/>
                    </w:rPr>
                    <w:t>年平均</w:t>
                  </w:r>
                </w:p>
                <w:p>
                  <w:pPr>
                    <w:keepNext/>
                    <w:keepLines/>
                    <w:spacing w:line="340" w:lineRule="exact"/>
                    <w:ind w:firstLine="23" w:firstLineChars="11"/>
                    <w:jc w:val="center"/>
                    <w:rPr>
                      <w:sz w:val="21"/>
                      <w:szCs w:val="21"/>
                    </w:rPr>
                  </w:pPr>
                  <w:r>
                    <w:rPr>
                      <w:rFonts w:hint="eastAsia"/>
                      <w:sz w:val="21"/>
                      <w:szCs w:val="21"/>
                    </w:rPr>
                    <w:t>24小时</w:t>
                  </w:r>
                  <w:r>
                    <w:rPr>
                      <w:sz w:val="21"/>
                      <w:szCs w:val="21"/>
                    </w:rPr>
                    <w:t>平均</w:t>
                  </w:r>
                </w:p>
              </w:tc>
              <w:tc>
                <w:tcPr>
                  <w:tcW w:w="1621" w:type="pct"/>
                  <w:vAlign w:val="center"/>
                </w:tcPr>
                <w:p>
                  <w:pPr>
                    <w:keepNext/>
                    <w:keepLines/>
                    <w:spacing w:line="340" w:lineRule="exact"/>
                    <w:ind w:firstLine="23" w:firstLineChars="11"/>
                    <w:jc w:val="center"/>
                    <w:rPr>
                      <w:sz w:val="21"/>
                      <w:szCs w:val="21"/>
                    </w:rPr>
                  </w:pPr>
                  <w:r>
                    <w:rPr>
                      <w:rFonts w:hint="eastAsia"/>
                      <w:sz w:val="21"/>
                      <w:szCs w:val="21"/>
                    </w:rPr>
                    <w:t>40</w:t>
                  </w:r>
                </w:p>
                <w:p>
                  <w:pPr>
                    <w:keepNext/>
                    <w:keepLines/>
                    <w:spacing w:line="340" w:lineRule="exact"/>
                    <w:ind w:firstLine="23" w:firstLineChars="11"/>
                    <w:jc w:val="center"/>
                    <w:rPr>
                      <w:sz w:val="21"/>
                      <w:szCs w:val="21"/>
                    </w:rPr>
                  </w:pPr>
                  <w:r>
                    <w:rPr>
                      <w:rFonts w:hint="eastAsia"/>
                      <w:sz w:val="21"/>
                      <w:szCs w:val="21"/>
                    </w:rPr>
                    <w:t>50</w:t>
                  </w:r>
                </w:p>
              </w:tc>
              <w:tc>
                <w:tcPr>
                  <w:tcW w:w="772" w:type="pct"/>
                  <w:vMerge w:val="continue"/>
                  <w:vAlign w:val="center"/>
                </w:tcPr>
                <w:p>
                  <w:pPr>
                    <w:pStyle w:val="81"/>
                    <w:ind w:left="0" w:leftChars="0" w:firstLine="422"/>
                    <w:rPr>
                      <w:b/>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1" w:type="pct"/>
                  <w:vAlign w:val="center"/>
                </w:tcPr>
                <w:p>
                  <w:pPr>
                    <w:keepNext/>
                    <w:keepLines/>
                    <w:spacing w:line="340" w:lineRule="exact"/>
                    <w:ind w:firstLine="23" w:firstLineChars="11"/>
                    <w:jc w:val="center"/>
                    <w:rPr>
                      <w:sz w:val="21"/>
                      <w:szCs w:val="21"/>
                    </w:rPr>
                  </w:pPr>
                  <w:r>
                    <w:rPr>
                      <w:sz w:val="21"/>
                      <w:szCs w:val="21"/>
                    </w:rPr>
                    <w:t>NO</w:t>
                  </w:r>
                  <w:r>
                    <w:rPr>
                      <w:sz w:val="21"/>
                      <w:szCs w:val="21"/>
                      <w:vertAlign w:val="subscript"/>
                    </w:rPr>
                    <w:t>2</w:t>
                  </w:r>
                </w:p>
              </w:tc>
              <w:tc>
                <w:tcPr>
                  <w:tcW w:w="1317" w:type="pct"/>
                  <w:vAlign w:val="center"/>
                </w:tcPr>
                <w:p>
                  <w:pPr>
                    <w:keepNext/>
                    <w:keepLines/>
                    <w:spacing w:line="340" w:lineRule="exact"/>
                    <w:ind w:firstLine="23" w:firstLineChars="11"/>
                    <w:jc w:val="center"/>
                    <w:rPr>
                      <w:sz w:val="21"/>
                      <w:szCs w:val="21"/>
                    </w:rPr>
                  </w:pPr>
                  <w:r>
                    <w:rPr>
                      <w:sz w:val="21"/>
                      <w:szCs w:val="21"/>
                    </w:rPr>
                    <w:t>年平均</w:t>
                  </w:r>
                </w:p>
                <w:p>
                  <w:pPr>
                    <w:keepNext/>
                    <w:keepLines/>
                    <w:spacing w:line="340" w:lineRule="exact"/>
                    <w:ind w:firstLine="23" w:firstLineChars="11"/>
                    <w:jc w:val="center"/>
                    <w:rPr>
                      <w:sz w:val="21"/>
                      <w:szCs w:val="21"/>
                    </w:rPr>
                  </w:pPr>
                  <w:r>
                    <w:rPr>
                      <w:rFonts w:hint="eastAsia"/>
                      <w:sz w:val="21"/>
                      <w:szCs w:val="21"/>
                    </w:rPr>
                    <w:t>24小时</w:t>
                  </w:r>
                  <w:r>
                    <w:rPr>
                      <w:sz w:val="21"/>
                      <w:szCs w:val="21"/>
                    </w:rPr>
                    <w:t>平均</w:t>
                  </w:r>
                </w:p>
                <w:p>
                  <w:pPr>
                    <w:keepNext/>
                    <w:keepLines/>
                    <w:spacing w:line="340" w:lineRule="exact"/>
                    <w:ind w:firstLine="23" w:firstLineChars="11"/>
                    <w:jc w:val="center"/>
                    <w:rPr>
                      <w:sz w:val="21"/>
                      <w:szCs w:val="21"/>
                    </w:rPr>
                  </w:pPr>
                  <w:r>
                    <w:rPr>
                      <w:rFonts w:hint="eastAsia"/>
                      <w:sz w:val="21"/>
                      <w:szCs w:val="21"/>
                    </w:rPr>
                    <w:t>1</w:t>
                  </w:r>
                  <w:r>
                    <w:rPr>
                      <w:sz w:val="21"/>
                      <w:szCs w:val="21"/>
                    </w:rPr>
                    <w:t>小时平均</w:t>
                  </w:r>
                </w:p>
              </w:tc>
              <w:tc>
                <w:tcPr>
                  <w:tcW w:w="1621" w:type="pct"/>
                  <w:vAlign w:val="center"/>
                </w:tcPr>
                <w:p>
                  <w:pPr>
                    <w:keepNext/>
                    <w:keepLines/>
                    <w:spacing w:line="340" w:lineRule="exact"/>
                    <w:ind w:firstLine="23" w:firstLineChars="11"/>
                    <w:jc w:val="center"/>
                    <w:rPr>
                      <w:sz w:val="21"/>
                      <w:szCs w:val="21"/>
                    </w:rPr>
                  </w:pPr>
                  <w:r>
                    <w:rPr>
                      <w:rFonts w:hint="eastAsia"/>
                      <w:sz w:val="21"/>
                      <w:szCs w:val="21"/>
                    </w:rPr>
                    <w:t>40</w:t>
                  </w:r>
                </w:p>
                <w:p>
                  <w:pPr>
                    <w:keepNext/>
                    <w:keepLines/>
                    <w:spacing w:line="340" w:lineRule="exact"/>
                    <w:ind w:firstLine="23" w:firstLineChars="11"/>
                    <w:jc w:val="center"/>
                    <w:rPr>
                      <w:sz w:val="21"/>
                      <w:szCs w:val="21"/>
                    </w:rPr>
                  </w:pPr>
                  <w:r>
                    <w:rPr>
                      <w:rFonts w:hint="eastAsia"/>
                      <w:sz w:val="21"/>
                      <w:szCs w:val="21"/>
                    </w:rPr>
                    <w:t>80</w:t>
                  </w:r>
                </w:p>
                <w:p>
                  <w:pPr>
                    <w:keepNext/>
                    <w:keepLines/>
                    <w:spacing w:line="340" w:lineRule="exact"/>
                    <w:ind w:firstLine="23" w:firstLineChars="11"/>
                    <w:jc w:val="center"/>
                    <w:rPr>
                      <w:sz w:val="21"/>
                      <w:szCs w:val="21"/>
                    </w:rPr>
                  </w:pPr>
                  <w:r>
                    <w:rPr>
                      <w:rFonts w:hint="eastAsia"/>
                      <w:sz w:val="21"/>
                      <w:szCs w:val="21"/>
                    </w:rPr>
                    <w:t>200</w:t>
                  </w:r>
                </w:p>
              </w:tc>
              <w:tc>
                <w:tcPr>
                  <w:tcW w:w="772" w:type="pct"/>
                  <w:vMerge w:val="continue"/>
                  <w:vAlign w:val="center"/>
                </w:tcPr>
                <w:p>
                  <w:pPr>
                    <w:pStyle w:val="81"/>
                    <w:ind w:left="0" w:leftChars="0" w:firstLine="422"/>
                    <w:rPr>
                      <w:b/>
                    </w:rPr>
                  </w:pPr>
                </w:p>
              </w:tc>
            </w:tr>
          </w:tbl>
          <w:p>
            <w:pPr>
              <w:spacing w:line="460" w:lineRule="exact"/>
              <w:ind w:firstLine="480"/>
              <w:rPr>
                <w:sz w:val="28"/>
                <w:szCs w:val="28"/>
              </w:rPr>
            </w:pPr>
            <w:r>
              <w:t>（2）</w:t>
            </w:r>
            <w:r>
              <w:rPr>
                <w:rFonts w:hint="eastAsia"/>
              </w:rPr>
              <w:t>地表水：项目所在</w:t>
            </w:r>
            <w:r>
              <w:t>区</w:t>
            </w:r>
            <w:r>
              <w:rPr>
                <w:rFonts w:hint="eastAsia"/>
              </w:rPr>
              <w:t>域地表水</w:t>
            </w:r>
            <w:r>
              <w:t>属</w:t>
            </w:r>
            <w:r>
              <w:rPr>
                <w:rFonts w:hint="eastAsia"/>
              </w:rPr>
              <w:t>清水河源头至门限石河段，水质目标为</w:t>
            </w:r>
            <w:r>
              <w:rPr>
                <w:lang w:val="zh-CN"/>
              </w:rPr>
              <w:fldChar w:fldCharType="begin"/>
            </w:r>
            <w:r>
              <w:rPr>
                <w:lang w:val="zh-CN"/>
              </w:rPr>
              <w:instrText xml:space="preserve"> = 2 \* ROMAN \* MERGEFORMAT </w:instrText>
            </w:r>
            <w:r>
              <w:rPr>
                <w:lang w:val="zh-CN"/>
              </w:rPr>
              <w:fldChar w:fldCharType="separate"/>
            </w:r>
            <w:r>
              <w:t>II</w:t>
            </w:r>
            <w:r>
              <w:rPr>
                <w:lang w:val="zh-CN"/>
              </w:rPr>
              <w:fldChar w:fldCharType="end"/>
            </w:r>
            <w:r>
              <w:rPr>
                <w:lang w:val="zh-CN"/>
              </w:rPr>
              <w:t>类水质标准</w:t>
            </w:r>
            <w:r>
              <w:rPr>
                <w:rFonts w:hint="eastAsia"/>
              </w:rPr>
              <w:t>。</w:t>
            </w:r>
          </w:p>
          <w:p>
            <w:pPr>
              <w:pStyle w:val="7"/>
              <w:rPr>
                <w:color w:val="auto"/>
                <w:sz w:val="21"/>
                <w:szCs w:val="21"/>
              </w:rPr>
            </w:pPr>
            <w:r>
              <w:rPr>
                <w:rFonts w:hint="eastAsia"/>
                <w:color w:val="auto"/>
                <w:sz w:val="21"/>
                <w:szCs w:val="21"/>
              </w:rPr>
              <w:t>表9  《地表水环境质量标准》（GB3838-2002）Ⅱ类标准   单位mg/L（</w:t>
            </w:r>
            <w:r>
              <w:rPr>
                <w:color w:val="auto"/>
                <w:sz w:val="21"/>
                <w:szCs w:val="21"/>
              </w:rPr>
              <w:t xml:space="preserve"> PH</w:t>
            </w:r>
            <w:r>
              <w:rPr>
                <w:rFonts w:hint="eastAsia"/>
                <w:color w:val="auto"/>
                <w:sz w:val="21"/>
                <w:szCs w:val="21"/>
              </w:rPr>
              <w:t>除外）</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132"/>
              <w:gridCol w:w="1133"/>
              <w:gridCol w:w="1130"/>
              <w:gridCol w:w="1130"/>
              <w:gridCol w:w="1130"/>
              <w:gridCol w:w="11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污染物</w:t>
                  </w:r>
                </w:p>
              </w:tc>
              <w:tc>
                <w:tcPr>
                  <w:tcW w:w="716" w:type="pct"/>
                  <w:shd w:val="clear" w:color="auto" w:fill="auto"/>
                  <w:vAlign w:val="center"/>
                </w:tcPr>
                <w:p>
                  <w:pPr>
                    <w:keepNext/>
                    <w:keepLines/>
                    <w:spacing w:line="340" w:lineRule="exact"/>
                    <w:ind w:firstLine="23" w:firstLineChars="11"/>
                    <w:jc w:val="center"/>
                    <w:rPr>
                      <w:sz w:val="21"/>
                      <w:szCs w:val="21"/>
                    </w:rPr>
                  </w:pPr>
                  <w:r>
                    <w:rPr>
                      <w:sz w:val="21"/>
                      <w:szCs w:val="21"/>
                    </w:rPr>
                    <w:t>PH</w:t>
                  </w:r>
                </w:p>
              </w:tc>
              <w:tc>
                <w:tcPr>
                  <w:tcW w:w="716" w:type="pct"/>
                  <w:shd w:val="clear" w:color="auto" w:fill="auto"/>
                  <w:vAlign w:val="center"/>
                </w:tcPr>
                <w:p>
                  <w:pPr>
                    <w:keepNext/>
                    <w:keepLines/>
                    <w:spacing w:line="340" w:lineRule="exact"/>
                    <w:ind w:firstLine="23" w:firstLineChars="11"/>
                    <w:jc w:val="center"/>
                    <w:rPr>
                      <w:sz w:val="21"/>
                      <w:szCs w:val="21"/>
                    </w:rPr>
                  </w:pPr>
                  <w:r>
                    <w:rPr>
                      <w:sz w:val="21"/>
                      <w:szCs w:val="21"/>
                    </w:rPr>
                    <w:t>CODcr</w:t>
                  </w:r>
                </w:p>
              </w:tc>
              <w:tc>
                <w:tcPr>
                  <w:tcW w:w="714" w:type="pct"/>
                  <w:shd w:val="clear" w:color="auto" w:fill="auto"/>
                  <w:vAlign w:val="center"/>
                </w:tcPr>
                <w:p>
                  <w:pPr>
                    <w:keepNext/>
                    <w:keepLines/>
                    <w:spacing w:line="340" w:lineRule="exact"/>
                    <w:ind w:firstLine="23" w:firstLineChars="11"/>
                    <w:jc w:val="center"/>
                    <w:rPr>
                      <w:sz w:val="21"/>
                      <w:szCs w:val="21"/>
                    </w:rPr>
                  </w:pPr>
                  <w:r>
                    <w:rPr>
                      <w:sz w:val="21"/>
                      <w:szCs w:val="21"/>
                    </w:rPr>
                    <w:t>BOD</w:t>
                  </w:r>
                  <w:r>
                    <w:rPr>
                      <w:sz w:val="21"/>
                      <w:szCs w:val="21"/>
                      <w:vertAlign w:val="subscript"/>
                    </w:rPr>
                    <w:t>5</w:t>
                  </w:r>
                </w:p>
              </w:tc>
              <w:tc>
                <w:tcPr>
                  <w:tcW w:w="714"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石油类</w:t>
                  </w:r>
                </w:p>
              </w:tc>
              <w:tc>
                <w:tcPr>
                  <w:tcW w:w="714" w:type="pct"/>
                  <w:shd w:val="clear" w:color="auto" w:fill="auto"/>
                  <w:vAlign w:val="center"/>
                </w:tcPr>
                <w:p>
                  <w:pPr>
                    <w:keepNext/>
                    <w:keepLines/>
                    <w:spacing w:line="340" w:lineRule="exact"/>
                    <w:ind w:firstLine="23" w:firstLineChars="11"/>
                    <w:jc w:val="center"/>
                    <w:rPr>
                      <w:sz w:val="21"/>
                      <w:szCs w:val="21"/>
                    </w:rPr>
                  </w:pPr>
                  <w:r>
                    <w:rPr>
                      <w:sz w:val="21"/>
                      <w:szCs w:val="21"/>
                    </w:rPr>
                    <w:t>NH</w:t>
                  </w:r>
                  <w:r>
                    <w:rPr>
                      <w:sz w:val="21"/>
                      <w:szCs w:val="21"/>
                      <w:vertAlign w:val="subscript"/>
                    </w:rPr>
                    <w:t>3</w:t>
                  </w:r>
                  <w:r>
                    <w:rPr>
                      <w:sz w:val="21"/>
                      <w:szCs w:val="21"/>
                    </w:rPr>
                    <w:t>-N</w:t>
                  </w:r>
                </w:p>
              </w:tc>
              <w:tc>
                <w:tcPr>
                  <w:tcW w:w="714" w:type="pct"/>
                  <w:vAlign w:val="center"/>
                </w:tcPr>
                <w:p>
                  <w:pPr>
                    <w:keepNext/>
                    <w:keepLines/>
                    <w:spacing w:line="340" w:lineRule="exact"/>
                    <w:ind w:firstLine="23" w:firstLineChars="11"/>
                    <w:jc w:val="center"/>
                    <w:rPr>
                      <w:sz w:val="21"/>
                      <w:szCs w:val="21"/>
                    </w:rPr>
                  </w:pPr>
                  <w:r>
                    <w:rPr>
                      <w:rFonts w:hint="eastAsia"/>
                      <w:sz w:val="21"/>
                      <w:szCs w:val="21"/>
                    </w:rPr>
                    <w:t>硫化物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标准值</w:t>
                  </w:r>
                </w:p>
              </w:tc>
              <w:tc>
                <w:tcPr>
                  <w:tcW w:w="716" w:type="pct"/>
                  <w:shd w:val="clear" w:color="auto" w:fill="auto"/>
                  <w:vAlign w:val="center"/>
                </w:tcPr>
                <w:p>
                  <w:pPr>
                    <w:keepNext/>
                    <w:keepLines/>
                    <w:spacing w:line="340" w:lineRule="exact"/>
                    <w:ind w:firstLine="23" w:firstLineChars="11"/>
                    <w:jc w:val="center"/>
                    <w:rPr>
                      <w:sz w:val="21"/>
                      <w:szCs w:val="21"/>
                    </w:rPr>
                  </w:pPr>
                  <w:r>
                    <w:rPr>
                      <w:sz w:val="21"/>
                      <w:szCs w:val="21"/>
                    </w:rPr>
                    <w:t>6</w:t>
                  </w:r>
                  <w:r>
                    <w:rPr>
                      <w:rFonts w:hint="eastAsia"/>
                      <w:sz w:val="21"/>
                      <w:szCs w:val="21"/>
                    </w:rPr>
                    <w:t>～</w:t>
                  </w:r>
                  <w:r>
                    <w:rPr>
                      <w:sz w:val="21"/>
                      <w:szCs w:val="21"/>
                    </w:rPr>
                    <w:t>9</w:t>
                  </w:r>
                </w:p>
              </w:tc>
              <w:tc>
                <w:tcPr>
                  <w:tcW w:w="716"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≤15</w:t>
                  </w:r>
                </w:p>
              </w:tc>
              <w:tc>
                <w:tcPr>
                  <w:tcW w:w="714"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≤3</w:t>
                  </w:r>
                </w:p>
              </w:tc>
              <w:tc>
                <w:tcPr>
                  <w:tcW w:w="714" w:type="pct"/>
                  <w:shd w:val="clear" w:color="auto" w:fill="auto"/>
                  <w:vAlign w:val="center"/>
                </w:tcPr>
                <w:p>
                  <w:pPr>
                    <w:keepNext/>
                    <w:keepLines/>
                    <w:spacing w:line="340" w:lineRule="exact"/>
                    <w:ind w:firstLine="23" w:firstLineChars="11"/>
                    <w:jc w:val="center"/>
                    <w:rPr>
                      <w:sz w:val="21"/>
                      <w:szCs w:val="21"/>
                    </w:rPr>
                  </w:pPr>
                  <w:r>
                    <w:rPr>
                      <w:sz w:val="21"/>
                      <w:szCs w:val="21"/>
                    </w:rPr>
                    <w:t>≤0.05</w:t>
                  </w:r>
                </w:p>
              </w:tc>
              <w:tc>
                <w:tcPr>
                  <w:tcW w:w="714" w:type="pct"/>
                  <w:shd w:val="clear" w:color="auto" w:fill="auto"/>
                  <w:vAlign w:val="center"/>
                </w:tcPr>
                <w:p>
                  <w:pPr>
                    <w:keepNext/>
                    <w:keepLines/>
                    <w:spacing w:line="340" w:lineRule="exact"/>
                    <w:ind w:firstLine="23" w:firstLineChars="11"/>
                    <w:jc w:val="center"/>
                    <w:rPr>
                      <w:sz w:val="21"/>
                      <w:szCs w:val="21"/>
                    </w:rPr>
                  </w:pPr>
                  <w:r>
                    <w:rPr>
                      <w:rFonts w:hint="eastAsia"/>
                      <w:sz w:val="21"/>
                      <w:szCs w:val="21"/>
                    </w:rPr>
                    <w:t>≤0.5</w:t>
                  </w:r>
                </w:p>
              </w:tc>
              <w:tc>
                <w:tcPr>
                  <w:tcW w:w="714" w:type="pct"/>
                  <w:vAlign w:val="center"/>
                </w:tcPr>
                <w:p>
                  <w:pPr>
                    <w:keepNext/>
                    <w:keepLines/>
                    <w:spacing w:line="340" w:lineRule="exact"/>
                    <w:ind w:firstLine="23" w:firstLineChars="11"/>
                    <w:jc w:val="center"/>
                    <w:rPr>
                      <w:sz w:val="21"/>
                      <w:szCs w:val="21"/>
                    </w:rPr>
                  </w:pPr>
                  <w:r>
                    <w:rPr>
                      <w:rFonts w:hint="eastAsia"/>
                      <w:sz w:val="21"/>
                      <w:szCs w:val="21"/>
                    </w:rPr>
                    <w:t>≤0.1</w:t>
                  </w:r>
                </w:p>
              </w:tc>
            </w:tr>
          </w:tbl>
          <w:p>
            <w:pPr>
              <w:numPr>
                <w:ilvl w:val="0"/>
                <w:numId w:val="2"/>
              </w:numPr>
              <w:spacing w:line="460" w:lineRule="exact"/>
              <w:ind w:firstLine="480"/>
              <w:rPr>
                <w:rFonts w:hAnsi="宋体"/>
              </w:rPr>
            </w:pPr>
            <w:r>
              <w:rPr>
                <w:rFonts w:hint="eastAsia" w:hAnsi="宋体"/>
              </w:rPr>
              <w:t>地下水：地下水执行《地下水环境质量标准》（ GB/T14848-93）中Ⅲ类标准。</w:t>
            </w:r>
          </w:p>
          <w:p>
            <w:pPr>
              <w:pStyle w:val="7"/>
              <w:rPr>
                <w:color w:val="auto"/>
                <w:sz w:val="21"/>
                <w:szCs w:val="21"/>
              </w:rPr>
            </w:pPr>
            <w:r>
              <w:rPr>
                <w:color w:val="auto"/>
                <w:sz w:val="21"/>
                <w:szCs w:val="21"/>
              </w:rPr>
              <w:t>表</w:t>
            </w:r>
            <w:r>
              <w:rPr>
                <w:rFonts w:hint="eastAsia"/>
                <w:color w:val="auto"/>
                <w:sz w:val="21"/>
                <w:szCs w:val="21"/>
              </w:rPr>
              <w:t>10</w:t>
            </w:r>
            <w:r>
              <w:rPr>
                <w:color w:val="auto"/>
                <w:sz w:val="21"/>
                <w:szCs w:val="21"/>
              </w:rPr>
              <w:t>《地下水</w:t>
            </w:r>
            <w:r>
              <w:rPr>
                <w:rFonts w:hint="eastAsia"/>
                <w:color w:val="auto"/>
                <w:sz w:val="21"/>
                <w:szCs w:val="21"/>
              </w:rPr>
              <w:t>环境</w:t>
            </w:r>
            <w:r>
              <w:rPr>
                <w:color w:val="auto"/>
                <w:sz w:val="21"/>
                <w:szCs w:val="21"/>
              </w:rPr>
              <w:t>质量标准》（GB/T14848-93）III类标准</w:t>
            </w:r>
            <w:r>
              <w:rPr>
                <w:rFonts w:hint="eastAsia"/>
                <w:color w:val="auto"/>
                <w:sz w:val="21"/>
                <w:szCs w:val="21"/>
              </w:rPr>
              <w:t xml:space="preserve">   </w:t>
            </w:r>
            <w:r>
              <w:rPr>
                <w:color w:val="auto"/>
                <w:sz w:val="21"/>
                <w:szCs w:val="21"/>
              </w:rPr>
              <w:t>单位mg/L</w:t>
            </w:r>
            <w:r>
              <w:rPr>
                <w:rFonts w:hint="eastAsia"/>
                <w:color w:val="auto"/>
                <w:sz w:val="21"/>
                <w:szCs w:val="21"/>
              </w:rPr>
              <w:t>（</w:t>
            </w:r>
            <w:r>
              <w:rPr>
                <w:color w:val="auto"/>
                <w:sz w:val="21"/>
                <w:szCs w:val="21"/>
              </w:rPr>
              <w:t xml:space="preserve"> PH</w:t>
            </w:r>
            <w:r>
              <w:rPr>
                <w:rFonts w:hint="eastAsia"/>
                <w:color w:val="auto"/>
                <w:sz w:val="21"/>
                <w:szCs w:val="21"/>
              </w:rPr>
              <w:t>除外）</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959"/>
              <w:gridCol w:w="1002"/>
              <w:gridCol w:w="995"/>
              <w:gridCol w:w="984"/>
              <w:gridCol w:w="990"/>
              <w:gridCol w:w="1002"/>
              <w:gridCol w:w="990"/>
              <w:gridCol w:w="989"/>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06" w:type="pct"/>
                  <w:vAlign w:val="center"/>
                </w:tcPr>
                <w:p>
                  <w:pPr>
                    <w:keepNext/>
                    <w:keepLines/>
                    <w:spacing w:line="340" w:lineRule="exact"/>
                    <w:ind w:firstLine="23" w:firstLineChars="11"/>
                    <w:jc w:val="center"/>
                    <w:rPr>
                      <w:sz w:val="21"/>
                      <w:szCs w:val="21"/>
                    </w:rPr>
                  </w:pPr>
                  <w:r>
                    <w:rPr>
                      <w:sz w:val="21"/>
                      <w:szCs w:val="21"/>
                    </w:rPr>
                    <w:t>项目</w:t>
                  </w:r>
                </w:p>
              </w:tc>
              <w:tc>
                <w:tcPr>
                  <w:tcW w:w="633" w:type="pct"/>
                  <w:vAlign w:val="center"/>
                </w:tcPr>
                <w:p>
                  <w:pPr>
                    <w:keepNext/>
                    <w:keepLines/>
                    <w:spacing w:line="340" w:lineRule="exact"/>
                    <w:ind w:firstLine="23" w:firstLineChars="11"/>
                    <w:jc w:val="center"/>
                    <w:rPr>
                      <w:sz w:val="21"/>
                      <w:szCs w:val="21"/>
                    </w:rPr>
                  </w:pPr>
                  <w:r>
                    <w:rPr>
                      <w:sz w:val="21"/>
                      <w:szCs w:val="21"/>
                    </w:rPr>
                    <w:t>pH</w:t>
                  </w:r>
                </w:p>
              </w:tc>
              <w:tc>
                <w:tcPr>
                  <w:tcW w:w="629" w:type="pct"/>
                  <w:vAlign w:val="center"/>
                </w:tcPr>
                <w:p>
                  <w:pPr>
                    <w:keepNext/>
                    <w:keepLines/>
                    <w:spacing w:line="340" w:lineRule="exact"/>
                    <w:ind w:firstLine="23" w:firstLineChars="11"/>
                    <w:jc w:val="center"/>
                    <w:rPr>
                      <w:sz w:val="21"/>
                      <w:szCs w:val="21"/>
                    </w:rPr>
                  </w:pPr>
                  <w:r>
                    <w:rPr>
                      <w:sz w:val="21"/>
                      <w:szCs w:val="21"/>
                    </w:rPr>
                    <w:t>氨氮</w:t>
                  </w:r>
                </w:p>
              </w:tc>
              <w:tc>
                <w:tcPr>
                  <w:tcW w:w="622" w:type="pct"/>
                  <w:vAlign w:val="center"/>
                </w:tcPr>
                <w:p>
                  <w:pPr>
                    <w:keepNext/>
                    <w:keepLines/>
                    <w:spacing w:line="340" w:lineRule="exact"/>
                    <w:ind w:firstLine="23" w:firstLineChars="11"/>
                    <w:jc w:val="center"/>
                    <w:rPr>
                      <w:sz w:val="21"/>
                      <w:szCs w:val="21"/>
                    </w:rPr>
                  </w:pPr>
                  <w:r>
                    <w:rPr>
                      <w:sz w:val="21"/>
                      <w:szCs w:val="21"/>
                    </w:rPr>
                    <w:t>硝酸盐</w:t>
                  </w:r>
                </w:p>
                <w:p>
                  <w:pPr>
                    <w:keepNext/>
                    <w:keepLines/>
                    <w:spacing w:line="340" w:lineRule="exact"/>
                    <w:ind w:firstLine="23" w:firstLineChars="11"/>
                    <w:jc w:val="center"/>
                    <w:rPr>
                      <w:sz w:val="21"/>
                      <w:szCs w:val="21"/>
                    </w:rPr>
                  </w:pPr>
                  <w:r>
                    <w:rPr>
                      <w:sz w:val="21"/>
                      <w:szCs w:val="21"/>
                    </w:rPr>
                    <w:t>（以N计）</w:t>
                  </w:r>
                </w:p>
              </w:tc>
              <w:tc>
                <w:tcPr>
                  <w:tcW w:w="626" w:type="pct"/>
                  <w:vAlign w:val="center"/>
                </w:tcPr>
                <w:p>
                  <w:pPr>
                    <w:keepNext/>
                    <w:keepLines/>
                    <w:spacing w:line="340" w:lineRule="exact"/>
                    <w:ind w:firstLine="23" w:firstLineChars="11"/>
                    <w:jc w:val="center"/>
                    <w:rPr>
                      <w:sz w:val="21"/>
                      <w:szCs w:val="21"/>
                    </w:rPr>
                  </w:pPr>
                  <w:r>
                    <w:rPr>
                      <w:sz w:val="21"/>
                      <w:szCs w:val="21"/>
                    </w:rPr>
                    <w:t>亚硝酸盐（以N计）</w:t>
                  </w:r>
                </w:p>
              </w:tc>
              <w:tc>
                <w:tcPr>
                  <w:tcW w:w="633" w:type="pct"/>
                  <w:vAlign w:val="center"/>
                </w:tcPr>
                <w:p>
                  <w:pPr>
                    <w:keepNext/>
                    <w:keepLines/>
                    <w:spacing w:line="340" w:lineRule="exact"/>
                    <w:ind w:firstLine="23" w:firstLineChars="11"/>
                    <w:jc w:val="center"/>
                    <w:rPr>
                      <w:sz w:val="21"/>
                      <w:szCs w:val="21"/>
                    </w:rPr>
                  </w:pPr>
                  <w:r>
                    <w:rPr>
                      <w:sz w:val="21"/>
                      <w:szCs w:val="21"/>
                    </w:rPr>
                    <w:t>挥发性酚类</w:t>
                  </w:r>
                </w:p>
              </w:tc>
              <w:tc>
                <w:tcPr>
                  <w:tcW w:w="626" w:type="pct"/>
                  <w:vAlign w:val="center"/>
                </w:tcPr>
                <w:p>
                  <w:pPr>
                    <w:keepNext/>
                    <w:keepLines/>
                    <w:spacing w:line="340" w:lineRule="exact"/>
                    <w:ind w:firstLine="23" w:firstLineChars="11"/>
                    <w:jc w:val="center"/>
                    <w:rPr>
                      <w:sz w:val="21"/>
                      <w:szCs w:val="21"/>
                    </w:rPr>
                  </w:pPr>
                  <w:r>
                    <w:rPr>
                      <w:sz w:val="21"/>
                      <w:szCs w:val="21"/>
                    </w:rPr>
                    <w:t>氰化物</w:t>
                  </w:r>
                </w:p>
              </w:tc>
              <w:tc>
                <w:tcPr>
                  <w:tcW w:w="625" w:type="pct"/>
                  <w:vAlign w:val="center"/>
                </w:tcPr>
                <w:p>
                  <w:pPr>
                    <w:keepNext/>
                    <w:keepLines/>
                    <w:spacing w:line="340" w:lineRule="exact"/>
                    <w:ind w:firstLine="23" w:firstLineChars="11"/>
                    <w:jc w:val="center"/>
                    <w:rPr>
                      <w:sz w:val="21"/>
                      <w:szCs w:val="21"/>
                    </w:rPr>
                  </w:pPr>
                  <w:r>
                    <w:rPr>
                      <w:sz w:val="21"/>
                      <w:szCs w:val="21"/>
                    </w:rPr>
                    <w:t>砷</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06" w:type="pct"/>
                  <w:vAlign w:val="center"/>
                </w:tcPr>
                <w:p>
                  <w:pPr>
                    <w:keepNext/>
                    <w:keepLines/>
                    <w:spacing w:line="340" w:lineRule="exact"/>
                    <w:ind w:firstLine="23" w:firstLineChars="11"/>
                    <w:jc w:val="center"/>
                    <w:rPr>
                      <w:sz w:val="21"/>
                      <w:szCs w:val="21"/>
                    </w:rPr>
                  </w:pPr>
                  <w:r>
                    <w:rPr>
                      <w:sz w:val="21"/>
                      <w:szCs w:val="21"/>
                    </w:rPr>
                    <w:t>标准</w:t>
                  </w:r>
                </w:p>
              </w:tc>
              <w:tc>
                <w:tcPr>
                  <w:tcW w:w="633" w:type="pct"/>
                  <w:vAlign w:val="center"/>
                </w:tcPr>
                <w:p>
                  <w:pPr>
                    <w:keepNext/>
                    <w:keepLines/>
                    <w:spacing w:line="340" w:lineRule="exact"/>
                    <w:ind w:firstLine="23" w:firstLineChars="11"/>
                    <w:jc w:val="center"/>
                    <w:rPr>
                      <w:sz w:val="21"/>
                      <w:szCs w:val="21"/>
                    </w:rPr>
                  </w:pPr>
                  <w:r>
                    <w:rPr>
                      <w:sz w:val="21"/>
                      <w:szCs w:val="21"/>
                    </w:rPr>
                    <w:t>6.5～8.5</w:t>
                  </w:r>
                </w:p>
              </w:tc>
              <w:tc>
                <w:tcPr>
                  <w:tcW w:w="629" w:type="pct"/>
                  <w:vAlign w:val="center"/>
                </w:tcPr>
                <w:p>
                  <w:pPr>
                    <w:keepNext/>
                    <w:keepLines/>
                    <w:spacing w:line="340" w:lineRule="exact"/>
                    <w:ind w:firstLine="23" w:firstLineChars="11"/>
                    <w:jc w:val="center"/>
                    <w:rPr>
                      <w:sz w:val="21"/>
                      <w:szCs w:val="21"/>
                    </w:rPr>
                  </w:pPr>
                  <w:r>
                    <w:rPr>
                      <w:sz w:val="21"/>
                      <w:szCs w:val="21"/>
                    </w:rPr>
                    <w:t>≤0.2</w:t>
                  </w:r>
                </w:p>
              </w:tc>
              <w:tc>
                <w:tcPr>
                  <w:tcW w:w="622" w:type="pct"/>
                  <w:vAlign w:val="center"/>
                </w:tcPr>
                <w:p>
                  <w:pPr>
                    <w:keepNext/>
                    <w:keepLines/>
                    <w:spacing w:line="340" w:lineRule="exact"/>
                    <w:ind w:firstLine="23" w:firstLineChars="11"/>
                    <w:jc w:val="center"/>
                    <w:rPr>
                      <w:sz w:val="21"/>
                      <w:szCs w:val="21"/>
                    </w:rPr>
                  </w:pPr>
                  <w:r>
                    <w:rPr>
                      <w:sz w:val="21"/>
                      <w:szCs w:val="21"/>
                    </w:rPr>
                    <w:t>≤20</w:t>
                  </w:r>
                </w:p>
              </w:tc>
              <w:tc>
                <w:tcPr>
                  <w:tcW w:w="626" w:type="pct"/>
                  <w:vAlign w:val="center"/>
                </w:tcPr>
                <w:p>
                  <w:pPr>
                    <w:keepNext/>
                    <w:keepLines/>
                    <w:spacing w:line="340" w:lineRule="exact"/>
                    <w:ind w:firstLine="23" w:firstLineChars="11"/>
                    <w:jc w:val="center"/>
                    <w:rPr>
                      <w:sz w:val="21"/>
                      <w:szCs w:val="21"/>
                    </w:rPr>
                  </w:pPr>
                  <w:r>
                    <w:rPr>
                      <w:sz w:val="21"/>
                      <w:szCs w:val="21"/>
                    </w:rPr>
                    <w:t>≤0.02</w:t>
                  </w:r>
                </w:p>
              </w:tc>
              <w:tc>
                <w:tcPr>
                  <w:tcW w:w="633" w:type="pct"/>
                  <w:vAlign w:val="center"/>
                </w:tcPr>
                <w:p>
                  <w:pPr>
                    <w:keepNext/>
                    <w:keepLines/>
                    <w:spacing w:line="340" w:lineRule="exact"/>
                    <w:ind w:firstLine="23" w:firstLineChars="11"/>
                    <w:jc w:val="center"/>
                    <w:rPr>
                      <w:sz w:val="21"/>
                      <w:szCs w:val="21"/>
                    </w:rPr>
                  </w:pPr>
                  <w:r>
                    <w:rPr>
                      <w:sz w:val="21"/>
                      <w:szCs w:val="21"/>
                    </w:rPr>
                    <w:t>≤0.002</w:t>
                  </w:r>
                </w:p>
              </w:tc>
              <w:tc>
                <w:tcPr>
                  <w:tcW w:w="626" w:type="pct"/>
                  <w:vAlign w:val="center"/>
                </w:tcPr>
                <w:p>
                  <w:pPr>
                    <w:keepNext/>
                    <w:keepLines/>
                    <w:spacing w:line="340" w:lineRule="exact"/>
                    <w:ind w:firstLine="23" w:firstLineChars="11"/>
                    <w:jc w:val="center"/>
                    <w:rPr>
                      <w:sz w:val="21"/>
                      <w:szCs w:val="21"/>
                    </w:rPr>
                  </w:pPr>
                  <w:r>
                    <w:rPr>
                      <w:sz w:val="21"/>
                      <w:szCs w:val="21"/>
                    </w:rPr>
                    <w:t>≤0.05</w:t>
                  </w:r>
                </w:p>
              </w:tc>
              <w:tc>
                <w:tcPr>
                  <w:tcW w:w="625" w:type="pct"/>
                  <w:vAlign w:val="center"/>
                </w:tcPr>
                <w:p>
                  <w:pPr>
                    <w:keepNext/>
                    <w:keepLines/>
                    <w:spacing w:line="340" w:lineRule="exact"/>
                    <w:ind w:firstLine="23" w:firstLineChars="11"/>
                    <w:jc w:val="center"/>
                    <w:rPr>
                      <w:sz w:val="21"/>
                      <w:szCs w:val="21"/>
                    </w:rPr>
                  </w:pPr>
                  <w:r>
                    <w:rPr>
                      <w:sz w:val="21"/>
                      <w:szCs w:val="21"/>
                    </w:rPr>
                    <w:t>≤0.05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06" w:type="pct"/>
                  <w:vAlign w:val="center"/>
                </w:tcPr>
                <w:p>
                  <w:pPr>
                    <w:keepNext/>
                    <w:keepLines/>
                    <w:spacing w:line="340" w:lineRule="exact"/>
                    <w:ind w:firstLine="23" w:firstLineChars="11"/>
                    <w:jc w:val="center"/>
                    <w:rPr>
                      <w:sz w:val="21"/>
                      <w:szCs w:val="21"/>
                    </w:rPr>
                  </w:pPr>
                  <w:r>
                    <w:rPr>
                      <w:sz w:val="21"/>
                      <w:szCs w:val="21"/>
                    </w:rPr>
                    <w:t>项目</w:t>
                  </w:r>
                </w:p>
              </w:tc>
              <w:tc>
                <w:tcPr>
                  <w:tcW w:w="633" w:type="pct"/>
                  <w:vAlign w:val="center"/>
                </w:tcPr>
                <w:p>
                  <w:pPr>
                    <w:keepNext/>
                    <w:keepLines/>
                    <w:spacing w:line="340" w:lineRule="exact"/>
                    <w:ind w:firstLine="23" w:firstLineChars="11"/>
                    <w:jc w:val="center"/>
                    <w:rPr>
                      <w:sz w:val="21"/>
                      <w:szCs w:val="21"/>
                    </w:rPr>
                  </w:pPr>
                  <w:r>
                    <w:rPr>
                      <w:sz w:val="21"/>
                      <w:szCs w:val="21"/>
                    </w:rPr>
                    <w:t>总汞</w:t>
                  </w:r>
                </w:p>
              </w:tc>
              <w:tc>
                <w:tcPr>
                  <w:tcW w:w="629" w:type="pct"/>
                  <w:vAlign w:val="center"/>
                </w:tcPr>
                <w:p>
                  <w:pPr>
                    <w:keepNext/>
                    <w:keepLines/>
                    <w:spacing w:line="340" w:lineRule="exact"/>
                    <w:ind w:firstLine="23" w:firstLineChars="11"/>
                    <w:jc w:val="center"/>
                    <w:rPr>
                      <w:sz w:val="21"/>
                      <w:szCs w:val="21"/>
                    </w:rPr>
                  </w:pPr>
                  <w:r>
                    <w:rPr>
                      <w:sz w:val="21"/>
                      <w:szCs w:val="21"/>
                    </w:rPr>
                    <w:t>铬（六价）</w:t>
                  </w:r>
                </w:p>
              </w:tc>
              <w:tc>
                <w:tcPr>
                  <w:tcW w:w="622" w:type="pct"/>
                  <w:vAlign w:val="center"/>
                </w:tcPr>
                <w:p>
                  <w:pPr>
                    <w:keepNext/>
                    <w:keepLines/>
                    <w:spacing w:line="340" w:lineRule="exact"/>
                    <w:ind w:firstLine="23" w:firstLineChars="11"/>
                    <w:jc w:val="center"/>
                    <w:rPr>
                      <w:sz w:val="21"/>
                      <w:szCs w:val="21"/>
                    </w:rPr>
                  </w:pPr>
                  <w:r>
                    <w:rPr>
                      <w:sz w:val="21"/>
                      <w:szCs w:val="21"/>
                    </w:rPr>
                    <w:t>总硬度</w:t>
                  </w:r>
                </w:p>
              </w:tc>
              <w:tc>
                <w:tcPr>
                  <w:tcW w:w="626" w:type="pct"/>
                  <w:vAlign w:val="center"/>
                </w:tcPr>
                <w:p>
                  <w:pPr>
                    <w:keepNext/>
                    <w:keepLines/>
                    <w:spacing w:line="340" w:lineRule="exact"/>
                    <w:ind w:firstLine="23" w:firstLineChars="11"/>
                    <w:jc w:val="center"/>
                    <w:rPr>
                      <w:sz w:val="21"/>
                      <w:szCs w:val="21"/>
                    </w:rPr>
                  </w:pPr>
                  <w:r>
                    <w:rPr>
                      <w:sz w:val="21"/>
                      <w:szCs w:val="21"/>
                    </w:rPr>
                    <w:t>铅</w:t>
                  </w:r>
                </w:p>
              </w:tc>
              <w:tc>
                <w:tcPr>
                  <w:tcW w:w="633" w:type="pct"/>
                  <w:vAlign w:val="center"/>
                </w:tcPr>
                <w:p>
                  <w:pPr>
                    <w:keepNext/>
                    <w:keepLines/>
                    <w:spacing w:line="340" w:lineRule="exact"/>
                    <w:ind w:firstLine="23" w:firstLineChars="11"/>
                    <w:jc w:val="center"/>
                    <w:rPr>
                      <w:sz w:val="21"/>
                      <w:szCs w:val="21"/>
                    </w:rPr>
                  </w:pPr>
                  <w:r>
                    <w:rPr>
                      <w:sz w:val="21"/>
                      <w:szCs w:val="21"/>
                    </w:rPr>
                    <w:t>氟化物</w:t>
                  </w:r>
                </w:p>
              </w:tc>
              <w:tc>
                <w:tcPr>
                  <w:tcW w:w="626" w:type="pct"/>
                  <w:vAlign w:val="center"/>
                </w:tcPr>
                <w:p>
                  <w:pPr>
                    <w:keepNext/>
                    <w:keepLines/>
                    <w:spacing w:line="340" w:lineRule="exact"/>
                    <w:ind w:firstLine="23" w:firstLineChars="11"/>
                    <w:jc w:val="center"/>
                    <w:rPr>
                      <w:sz w:val="21"/>
                      <w:szCs w:val="21"/>
                    </w:rPr>
                  </w:pPr>
                  <w:r>
                    <w:rPr>
                      <w:sz w:val="21"/>
                      <w:szCs w:val="21"/>
                    </w:rPr>
                    <w:t>镉</w:t>
                  </w:r>
                </w:p>
              </w:tc>
              <w:tc>
                <w:tcPr>
                  <w:tcW w:w="625" w:type="pct"/>
                  <w:vAlign w:val="center"/>
                </w:tcPr>
                <w:p>
                  <w:pPr>
                    <w:keepNext/>
                    <w:keepLines/>
                    <w:spacing w:line="340" w:lineRule="exact"/>
                    <w:ind w:firstLine="23" w:firstLineChars="11"/>
                    <w:jc w:val="center"/>
                    <w:rPr>
                      <w:sz w:val="21"/>
                      <w:szCs w:val="21"/>
                    </w:rPr>
                  </w:pPr>
                  <w:r>
                    <w:rPr>
                      <w:sz w:val="21"/>
                      <w:szCs w:val="21"/>
                    </w:rPr>
                    <w:t>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06" w:type="pct"/>
                  <w:vAlign w:val="center"/>
                </w:tcPr>
                <w:p>
                  <w:pPr>
                    <w:keepNext/>
                    <w:keepLines/>
                    <w:spacing w:line="340" w:lineRule="exact"/>
                    <w:ind w:firstLine="23" w:firstLineChars="11"/>
                    <w:jc w:val="center"/>
                    <w:rPr>
                      <w:sz w:val="21"/>
                      <w:szCs w:val="21"/>
                    </w:rPr>
                  </w:pPr>
                  <w:r>
                    <w:rPr>
                      <w:sz w:val="21"/>
                      <w:szCs w:val="21"/>
                    </w:rPr>
                    <w:t>标准</w:t>
                  </w:r>
                </w:p>
              </w:tc>
              <w:tc>
                <w:tcPr>
                  <w:tcW w:w="633" w:type="pct"/>
                  <w:vAlign w:val="center"/>
                </w:tcPr>
                <w:p>
                  <w:pPr>
                    <w:keepNext/>
                    <w:keepLines/>
                    <w:spacing w:line="340" w:lineRule="exact"/>
                    <w:ind w:firstLine="23" w:firstLineChars="11"/>
                    <w:jc w:val="center"/>
                    <w:rPr>
                      <w:sz w:val="21"/>
                      <w:szCs w:val="21"/>
                    </w:rPr>
                  </w:pPr>
                  <w:r>
                    <w:rPr>
                      <w:sz w:val="21"/>
                      <w:szCs w:val="21"/>
                    </w:rPr>
                    <w:t>≤0.001</w:t>
                  </w:r>
                </w:p>
              </w:tc>
              <w:tc>
                <w:tcPr>
                  <w:tcW w:w="629" w:type="pct"/>
                  <w:vAlign w:val="center"/>
                </w:tcPr>
                <w:p>
                  <w:pPr>
                    <w:keepNext/>
                    <w:keepLines/>
                    <w:spacing w:line="340" w:lineRule="exact"/>
                    <w:ind w:firstLine="23" w:firstLineChars="11"/>
                    <w:jc w:val="center"/>
                    <w:rPr>
                      <w:sz w:val="21"/>
                      <w:szCs w:val="21"/>
                    </w:rPr>
                  </w:pPr>
                  <w:r>
                    <w:rPr>
                      <w:sz w:val="21"/>
                      <w:szCs w:val="21"/>
                    </w:rPr>
                    <w:t>≤0.05</w:t>
                  </w:r>
                </w:p>
              </w:tc>
              <w:tc>
                <w:tcPr>
                  <w:tcW w:w="622" w:type="pct"/>
                  <w:vAlign w:val="center"/>
                </w:tcPr>
                <w:p>
                  <w:pPr>
                    <w:keepNext/>
                    <w:keepLines/>
                    <w:spacing w:line="340" w:lineRule="exact"/>
                    <w:ind w:firstLine="23" w:firstLineChars="11"/>
                    <w:jc w:val="center"/>
                    <w:rPr>
                      <w:sz w:val="21"/>
                      <w:szCs w:val="21"/>
                    </w:rPr>
                  </w:pPr>
                  <w:r>
                    <w:rPr>
                      <w:sz w:val="21"/>
                      <w:szCs w:val="21"/>
                    </w:rPr>
                    <w:t>≤450</w:t>
                  </w:r>
                </w:p>
              </w:tc>
              <w:tc>
                <w:tcPr>
                  <w:tcW w:w="626" w:type="pct"/>
                  <w:vAlign w:val="center"/>
                </w:tcPr>
                <w:p>
                  <w:pPr>
                    <w:keepNext/>
                    <w:keepLines/>
                    <w:spacing w:line="340" w:lineRule="exact"/>
                    <w:ind w:firstLine="23" w:firstLineChars="11"/>
                    <w:jc w:val="center"/>
                    <w:rPr>
                      <w:sz w:val="21"/>
                      <w:szCs w:val="21"/>
                    </w:rPr>
                  </w:pPr>
                  <w:r>
                    <w:rPr>
                      <w:sz w:val="21"/>
                      <w:szCs w:val="21"/>
                    </w:rPr>
                    <w:t>≤0.05</w:t>
                  </w:r>
                </w:p>
              </w:tc>
              <w:tc>
                <w:tcPr>
                  <w:tcW w:w="633" w:type="pct"/>
                  <w:vAlign w:val="center"/>
                </w:tcPr>
                <w:p>
                  <w:pPr>
                    <w:keepNext/>
                    <w:keepLines/>
                    <w:spacing w:line="340" w:lineRule="exact"/>
                    <w:ind w:firstLine="23" w:firstLineChars="11"/>
                    <w:jc w:val="center"/>
                    <w:rPr>
                      <w:sz w:val="21"/>
                      <w:szCs w:val="21"/>
                    </w:rPr>
                  </w:pPr>
                  <w:r>
                    <w:rPr>
                      <w:sz w:val="21"/>
                      <w:szCs w:val="21"/>
                    </w:rPr>
                    <w:t>≤1.0</w:t>
                  </w:r>
                </w:p>
              </w:tc>
              <w:tc>
                <w:tcPr>
                  <w:tcW w:w="626" w:type="pct"/>
                  <w:vAlign w:val="center"/>
                </w:tcPr>
                <w:p>
                  <w:pPr>
                    <w:keepNext/>
                    <w:keepLines/>
                    <w:spacing w:line="340" w:lineRule="exact"/>
                    <w:ind w:firstLine="23" w:firstLineChars="11"/>
                    <w:jc w:val="center"/>
                    <w:rPr>
                      <w:sz w:val="21"/>
                      <w:szCs w:val="21"/>
                    </w:rPr>
                  </w:pPr>
                  <w:r>
                    <w:rPr>
                      <w:sz w:val="21"/>
                      <w:szCs w:val="21"/>
                    </w:rPr>
                    <w:t>≤0.01</w:t>
                  </w:r>
                </w:p>
              </w:tc>
              <w:tc>
                <w:tcPr>
                  <w:tcW w:w="625" w:type="pct"/>
                  <w:vAlign w:val="center"/>
                </w:tcPr>
                <w:p>
                  <w:pPr>
                    <w:keepNext/>
                    <w:keepLines/>
                    <w:spacing w:line="340" w:lineRule="exact"/>
                    <w:ind w:firstLine="23" w:firstLineChars="11"/>
                    <w:jc w:val="center"/>
                    <w:rPr>
                      <w:sz w:val="21"/>
                      <w:szCs w:val="21"/>
                    </w:rPr>
                  </w:pPr>
                  <w:r>
                    <w:rPr>
                      <w:sz w:val="21"/>
                      <w:szCs w:val="21"/>
                    </w:rPr>
                    <w:t>≤0.3</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06" w:type="pct"/>
                  <w:vAlign w:val="center"/>
                </w:tcPr>
                <w:p>
                  <w:pPr>
                    <w:keepNext/>
                    <w:keepLines/>
                    <w:spacing w:line="340" w:lineRule="exact"/>
                    <w:ind w:firstLine="23" w:firstLineChars="11"/>
                    <w:jc w:val="center"/>
                    <w:rPr>
                      <w:sz w:val="21"/>
                      <w:szCs w:val="21"/>
                    </w:rPr>
                  </w:pPr>
                  <w:r>
                    <w:rPr>
                      <w:sz w:val="21"/>
                      <w:szCs w:val="21"/>
                    </w:rPr>
                    <w:t>项目</w:t>
                  </w:r>
                </w:p>
              </w:tc>
              <w:tc>
                <w:tcPr>
                  <w:tcW w:w="633" w:type="pct"/>
                  <w:vAlign w:val="center"/>
                </w:tcPr>
                <w:p>
                  <w:pPr>
                    <w:keepNext/>
                    <w:keepLines/>
                    <w:spacing w:line="340" w:lineRule="exact"/>
                    <w:ind w:firstLine="23" w:firstLineChars="11"/>
                    <w:jc w:val="center"/>
                    <w:rPr>
                      <w:sz w:val="21"/>
                      <w:szCs w:val="21"/>
                    </w:rPr>
                  </w:pPr>
                  <w:r>
                    <w:rPr>
                      <w:sz w:val="21"/>
                      <w:szCs w:val="21"/>
                    </w:rPr>
                    <w:t>锰</w:t>
                  </w:r>
                </w:p>
              </w:tc>
              <w:tc>
                <w:tcPr>
                  <w:tcW w:w="629" w:type="pct"/>
                  <w:vAlign w:val="center"/>
                </w:tcPr>
                <w:p>
                  <w:pPr>
                    <w:keepNext/>
                    <w:keepLines/>
                    <w:spacing w:line="340" w:lineRule="exact"/>
                    <w:ind w:firstLine="23" w:firstLineChars="11"/>
                    <w:jc w:val="center"/>
                    <w:rPr>
                      <w:sz w:val="21"/>
                      <w:szCs w:val="21"/>
                    </w:rPr>
                  </w:pPr>
                  <w:r>
                    <w:rPr>
                      <w:sz w:val="21"/>
                      <w:szCs w:val="21"/>
                    </w:rPr>
                    <w:t>溶解性总固体</w:t>
                  </w:r>
                </w:p>
              </w:tc>
              <w:tc>
                <w:tcPr>
                  <w:tcW w:w="622" w:type="pct"/>
                  <w:vAlign w:val="center"/>
                </w:tcPr>
                <w:p>
                  <w:pPr>
                    <w:keepNext/>
                    <w:keepLines/>
                    <w:spacing w:line="340" w:lineRule="exact"/>
                    <w:ind w:firstLine="23" w:firstLineChars="11"/>
                    <w:jc w:val="center"/>
                    <w:rPr>
                      <w:sz w:val="21"/>
                      <w:szCs w:val="21"/>
                    </w:rPr>
                  </w:pPr>
                  <w:r>
                    <w:rPr>
                      <w:sz w:val="21"/>
                      <w:szCs w:val="21"/>
                    </w:rPr>
                    <w:t>高锰酸盐指数</w:t>
                  </w:r>
                </w:p>
              </w:tc>
              <w:tc>
                <w:tcPr>
                  <w:tcW w:w="626" w:type="pct"/>
                  <w:vAlign w:val="center"/>
                </w:tcPr>
                <w:p>
                  <w:pPr>
                    <w:keepNext/>
                    <w:keepLines/>
                    <w:spacing w:line="340" w:lineRule="exact"/>
                    <w:ind w:firstLine="23" w:firstLineChars="11"/>
                    <w:jc w:val="center"/>
                    <w:rPr>
                      <w:sz w:val="21"/>
                      <w:szCs w:val="21"/>
                    </w:rPr>
                  </w:pPr>
                  <w:r>
                    <w:rPr>
                      <w:sz w:val="21"/>
                      <w:szCs w:val="21"/>
                    </w:rPr>
                    <w:t>硫酸盐</w:t>
                  </w:r>
                </w:p>
              </w:tc>
              <w:tc>
                <w:tcPr>
                  <w:tcW w:w="633" w:type="pct"/>
                  <w:vAlign w:val="center"/>
                </w:tcPr>
                <w:p>
                  <w:pPr>
                    <w:keepNext/>
                    <w:keepLines/>
                    <w:spacing w:line="340" w:lineRule="exact"/>
                    <w:ind w:firstLine="23" w:firstLineChars="11"/>
                    <w:jc w:val="center"/>
                    <w:rPr>
                      <w:sz w:val="21"/>
                      <w:szCs w:val="21"/>
                    </w:rPr>
                  </w:pPr>
                  <w:r>
                    <w:rPr>
                      <w:sz w:val="21"/>
                      <w:szCs w:val="21"/>
                    </w:rPr>
                    <w:t>氯化物</w:t>
                  </w:r>
                </w:p>
              </w:tc>
              <w:tc>
                <w:tcPr>
                  <w:tcW w:w="626" w:type="pct"/>
                  <w:vAlign w:val="center"/>
                </w:tcPr>
                <w:p>
                  <w:pPr>
                    <w:keepNext/>
                    <w:keepLines/>
                    <w:spacing w:line="340" w:lineRule="exact"/>
                    <w:ind w:firstLine="23" w:firstLineChars="11"/>
                    <w:jc w:val="center"/>
                    <w:rPr>
                      <w:sz w:val="21"/>
                      <w:szCs w:val="21"/>
                    </w:rPr>
                  </w:pPr>
                  <w:r>
                    <w:rPr>
                      <w:sz w:val="21"/>
                      <w:szCs w:val="21"/>
                    </w:rPr>
                    <w:t>细菌总数(个/ml)</w:t>
                  </w:r>
                </w:p>
              </w:tc>
              <w:tc>
                <w:tcPr>
                  <w:tcW w:w="625" w:type="pct"/>
                  <w:vAlign w:val="center"/>
                </w:tcPr>
                <w:p>
                  <w:pPr>
                    <w:keepNext/>
                    <w:keepLines/>
                    <w:spacing w:line="340" w:lineRule="exact"/>
                    <w:ind w:firstLine="23" w:firstLineChars="11"/>
                    <w:jc w:val="center"/>
                    <w:rPr>
                      <w:sz w:val="21"/>
                      <w:szCs w:val="21"/>
                    </w:rPr>
                  </w:pPr>
                  <w:r>
                    <w:rPr>
                      <w:sz w:val="21"/>
                      <w:szCs w:val="21"/>
                    </w:rPr>
                    <w:t>大肠菌群(个/L)</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06" w:type="pct"/>
                  <w:vAlign w:val="center"/>
                </w:tcPr>
                <w:p>
                  <w:pPr>
                    <w:keepNext/>
                    <w:keepLines/>
                    <w:spacing w:line="340" w:lineRule="exact"/>
                    <w:ind w:firstLine="23" w:firstLineChars="11"/>
                    <w:jc w:val="center"/>
                    <w:rPr>
                      <w:sz w:val="21"/>
                      <w:szCs w:val="21"/>
                    </w:rPr>
                  </w:pPr>
                  <w:r>
                    <w:rPr>
                      <w:sz w:val="21"/>
                      <w:szCs w:val="21"/>
                    </w:rPr>
                    <w:t>标准</w:t>
                  </w:r>
                </w:p>
              </w:tc>
              <w:tc>
                <w:tcPr>
                  <w:tcW w:w="633" w:type="pct"/>
                  <w:vAlign w:val="center"/>
                </w:tcPr>
                <w:p>
                  <w:pPr>
                    <w:keepNext/>
                    <w:keepLines/>
                    <w:spacing w:line="340" w:lineRule="exact"/>
                    <w:ind w:firstLine="23" w:firstLineChars="11"/>
                    <w:jc w:val="center"/>
                    <w:rPr>
                      <w:sz w:val="21"/>
                      <w:szCs w:val="21"/>
                    </w:rPr>
                  </w:pPr>
                  <w:r>
                    <w:rPr>
                      <w:sz w:val="21"/>
                      <w:szCs w:val="21"/>
                    </w:rPr>
                    <w:t>≤0.1</w:t>
                  </w:r>
                </w:p>
              </w:tc>
              <w:tc>
                <w:tcPr>
                  <w:tcW w:w="629" w:type="pct"/>
                  <w:vAlign w:val="center"/>
                </w:tcPr>
                <w:p>
                  <w:pPr>
                    <w:keepNext/>
                    <w:keepLines/>
                    <w:spacing w:line="340" w:lineRule="exact"/>
                    <w:ind w:firstLine="23" w:firstLineChars="11"/>
                    <w:jc w:val="center"/>
                    <w:rPr>
                      <w:sz w:val="21"/>
                      <w:szCs w:val="21"/>
                    </w:rPr>
                  </w:pPr>
                  <w:r>
                    <w:rPr>
                      <w:sz w:val="21"/>
                      <w:szCs w:val="21"/>
                    </w:rPr>
                    <w:t>≤1000</w:t>
                  </w:r>
                </w:p>
              </w:tc>
              <w:tc>
                <w:tcPr>
                  <w:tcW w:w="622" w:type="pct"/>
                  <w:vAlign w:val="center"/>
                </w:tcPr>
                <w:p>
                  <w:pPr>
                    <w:keepNext/>
                    <w:keepLines/>
                    <w:spacing w:line="340" w:lineRule="exact"/>
                    <w:ind w:firstLine="23" w:firstLineChars="11"/>
                    <w:jc w:val="center"/>
                    <w:rPr>
                      <w:sz w:val="21"/>
                      <w:szCs w:val="21"/>
                    </w:rPr>
                  </w:pPr>
                  <w:r>
                    <w:rPr>
                      <w:sz w:val="21"/>
                      <w:szCs w:val="21"/>
                    </w:rPr>
                    <w:t>≤3.0</w:t>
                  </w:r>
                </w:p>
              </w:tc>
              <w:tc>
                <w:tcPr>
                  <w:tcW w:w="626" w:type="pct"/>
                  <w:vAlign w:val="center"/>
                </w:tcPr>
                <w:p>
                  <w:pPr>
                    <w:keepNext/>
                    <w:keepLines/>
                    <w:spacing w:line="340" w:lineRule="exact"/>
                    <w:ind w:firstLine="23" w:firstLineChars="11"/>
                    <w:jc w:val="center"/>
                    <w:rPr>
                      <w:sz w:val="21"/>
                      <w:szCs w:val="21"/>
                    </w:rPr>
                  </w:pPr>
                  <w:r>
                    <w:rPr>
                      <w:sz w:val="21"/>
                      <w:szCs w:val="21"/>
                    </w:rPr>
                    <w:t>≤250</w:t>
                  </w:r>
                </w:p>
              </w:tc>
              <w:tc>
                <w:tcPr>
                  <w:tcW w:w="633" w:type="pct"/>
                  <w:vAlign w:val="center"/>
                </w:tcPr>
                <w:p>
                  <w:pPr>
                    <w:keepNext/>
                    <w:keepLines/>
                    <w:spacing w:line="340" w:lineRule="exact"/>
                    <w:ind w:firstLine="23" w:firstLineChars="11"/>
                    <w:jc w:val="center"/>
                    <w:rPr>
                      <w:sz w:val="21"/>
                      <w:szCs w:val="21"/>
                    </w:rPr>
                  </w:pPr>
                  <w:r>
                    <w:rPr>
                      <w:sz w:val="21"/>
                      <w:szCs w:val="21"/>
                    </w:rPr>
                    <w:t>≤250</w:t>
                  </w:r>
                </w:p>
              </w:tc>
              <w:tc>
                <w:tcPr>
                  <w:tcW w:w="626" w:type="pct"/>
                  <w:vAlign w:val="center"/>
                </w:tcPr>
                <w:p>
                  <w:pPr>
                    <w:keepNext/>
                    <w:keepLines/>
                    <w:spacing w:line="340" w:lineRule="exact"/>
                    <w:ind w:firstLine="23" w:firstLineChars="11"/>
                    <w:jc w:val="center"/>
                    <w:rPr>
                      <w:sz w:val="21"/>
                      <w:szCs w:val="21"/>
                    </w:rPr>
                  </w:pPr>
                  <w:r>
                    <w:rPr>
                      <w:sz w:val="21"/>
                      <w:szCs w:val="21"/>
                    </w:rPr>
                    <w:t>≤100</w:t>
                  </w:r>
                </w:p>
              </w:tc>
              <w:tc>
                <w:tcPr>
                  <w:tcW w:w="625" w:type="pct"/>
                  <w:vAlign w:val="center"/>
                </w:tcPr>
                <w:p>
                  <w:pPr>
                    <w:keepNext/>
                    <w:keepLines/>
                    <w:spacing w:line="340" w:lineRule="exact"/>
                    <w:ind w:firstLine="23" w:firstLineChars="11"/>
                    <w:jc w:val="center"/>
                    <w:rPr>
                      <w:sz w:val="21"/>
                      <w:szCs w:val="21"/>
                    </w:rPr>
                  </w:pPr>
                  <w:r>
                    <w:rPr>
                      <w:sz w:val="21"/>
                      <w:szCs w:val="21"/>
                    </w:rPr>
                    <w:t>≤3.0</w:t>
                  </w:r>
                </w:p>
              </w:tc>
            </w:tr>
          </w:tbl>
          <w:p>
            <w:pPr>
              <w:numPr>
                <w:ilvl w:val="0"/>
                <w:numId w:val="2"/>
              </w:numPr>
              <w:spacing w:line="460" w:lineRule="exact"/>
              <w:ind w:firstLine="480"/>
              <w:rPr>
                <w:rFonts w:hAnsi="宋体"/>
              </w:rPr>
            </w:pPr>
            <w:r>
              <w:t>环境噪声：</w:t>
            </w:r>
            <w:r>
              <w:rPr>
                <w:rFonts w:hint="eastAsia"/>
              </w:rPr>
              <w:t>本项目所在区域为五台山风景名胜区，区域声环境质量标准</w:t>
            </w:r>
            <w:r>
              <w:rPr>
                <w:rFonts w:hAnsi="宋体"/>
              </w:rPr>
              <w:t>执行《声环境质量标准》（</w:t>
            </w:r>
            <w:r>
              <w:t>GB3096-2008</w:t>
            </w:r>
            <w:r>
              <w:rPr>
                <w:rFonts w:hAnsi="宋体"/>
              </w:rPr>
              <w:t>）中</w:t>
            </w:r>
            <w:r>
              <w:rPr>
                <w:rFonts w:hint="eastAsia" w:hAnsi="宋体"/>
              </w:rPr>
              <w:t>1类</w:t>
            </w:r>
            <w:r>
              <w:rPr>
                <w:rFonts w:hAnsi="宋体"/>
              </w:rPr>
              <w:t>标准，见下表</w:t>
            </w:r>
            <w:r>
              <w:rPr>
                <w:rFonts w:hint="eastAsia" w:hAnsi="宋体"/>
              </w:rPr>
              <w:t>11</w:t>
            </w:r>
            <w:r>
              <w:rPr>
                <w:rFonts w:hAnsi="宋体"/>
              </w:rPr>
              <w:t>。</w:t>
            </w:r>
          </w:p>
          <w:p>
            <w:pPr>
              <w:pStyle w:val="7"/>
              <w:rPr>
                <w:color w:val="auto"/>
                <w:sz w:val="21"/>
                <w:szCs w:val="21"/>
              </w:rPr>
            </w:pPr>
            <w:r>
              <w:rPr>
                <w:rFonts w:hint="eastAsia"/>
                <w:color w:val="auto"/>
                <w:sz w:val="21"/>
                <w:szCs w:val="21"/>
              </w:rPr>
              <w:t>表11 声环境质量标准   单位：LAeq：dB（A）</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3622"/>
              <w:gridCol w:w="2145"/>
              <w:gridCol w:w="214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89" w:type="pct"/>
                  <w:vAlign w:val="center"/>
                </w:tcPr>
                <w:p>
                  <w:pPr>
                    <w:keepNext/>
                    <w:keepLines/>
                    <w:spacing w:line="340" w:lineRule="exact"/>
                    <w:ind w:firstLine="23" w:firstLineChars="11"/>
                    <w:jc w:val="center"/>
                    <w:rPr>
                      <w:sz w:val="21"/>
                      <w:szCs w:val="21"/>
                    </w:rPr>
                  </w:pPr>
                  <w:r>
                    <w:rPr>
                      <w:sz w:val="21"/>
                      <w:szCs w:val="21"/>
                    </w:rPr>
                    <w:t>声环境功能区类别</w:t>
                  </w:r>
                </w:p>
              </w:tc>
              <w:tc>
                <w:tcPr>
                  <w:tcW w:w="1356" w:type="pct"/>
                  <w:vAlign w:val="center"/>
                </w:tcPr>
                <w:p>
                  <w:pPr>
                    <w:keepNext/>
                    <w:keepLines/>
                    <w:spacing w:line="340" w:lineRule="exact"/>
                    <w:ind w:firstLine="23" w:firstLineChars="11"/>
                    <w:jc w:val="center"/>
                    <w:rPr>
                      <w:sz w:val="21"/>
                      <w:szCs w:val="21"/>
                    </w:rPr>
                  </w:pPr>
                  <w:r>
                    <w:rPr>
                      <w:sz w:val="21"/>
                      <w:szCs w:val="21"/>
                    </w:rPr>
                    <w:t>昼间</w:t>
                  </w:r>
                </w:p>
              </w:tc>
              <w:tc>
                <w:tcPr>
                  <w:tcW w:w="1356" w:type="pct"/>
                  <w:vAlign w:val="center"/>
                </w:tcPr>
                <w:p>
                  <w:pPr>
                    <w:keepNext/>
                    <w:keepLines/>
                    <w:spacing w:line="340" w:lineRule="exact"/>
                    <w:ind w:firstLine="23" w:firstLineChars="11"/>
                    <w:jc w:val="center"/>
                    <w:rPr>
                      <w:sz w:val="21"/>
                      <w:szCs w:val="21"/>
                    </w:rPr>
                  </w:pPr>
                  <w:r>
                    <w:rPr>
                      <w:sz w:val="21"/>
                      <w:szCs w:val="21"/>
                    </w:rPr>
                    <w:t>夜间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289" w:type="pct"/>
                  <w:vAlign w:val="center"/>
                </w:tcPr>
                <w:p>
                  <w:pPr>
                    <w:keepNext/>
                    <w:keepLines/>
                    <w:spacing w:line="340" w:lineRule="exact"/>
                    <w:ind w:firstLine="23" w:firstLineChars="11"/>
                    <w:jc w:val="center"/>
                    <w:rPr>
                      <w:sz w:val="21"/>
                      <w:szCs w:val="21"/>
                    </w:rPr>
                  </w:pPr>
                  <w:r>
                    <w:rPr>
                      <w:rFonts w:hint="eastAsia"/>
                      <w:sz w:val="21"/>
                      <w:szCs w:val="21"/>
                    </w:rPr>
                    <w:t>1</w:t>
                  </w:r>
                </w:p>
              </w:tc>
              <w:tc>
                <w:tcPr>
                  <w:tcW w:w="1356" w:type="pct"/>
                  <w:vAlign w:val="center"/>
                </w:tcPr>
                <w:p>
                  <w:pPr>
                    <w:keepNext/>
                    <w:keepLines/>
                    <w:spacing w:line="340" w:lineRule="exact"/>
                    <w:ind w:firstLine="23" w:firstLineChars="11"/>
                    <w:jc w:val="center"/>
                    <w:rPr>
                      <w:sz w:val="21"/>
                      <w:szCs w:val="21"/>
                    </w:rPr>
                  </w:pPr>
                  <w:r>
                    <w:rPr>
                      <w:rFonts w:hint="eastAsia"/>
                      <w:sz w:val="21"/>
                      <w:szCs w:val="21"/>
                    </w:rPr>
                    <w:t>55</w:t>
                  </w:r>
                </w:p>
              </w:tc>
              <w:tc>
                <w:tcPr>
                  <w:tcW w:w="1356" w:type="pct"/>
                  <w:vAlign w:val="center"/>
                </w:tcPr>
                <w:p>
                  <w:pPr>
                    <w:keepNext/>
                    <w:keepLines/>
                    <w:spacing w:line="340" w:lineRule="exact"/>
                    <w:ind w:firstLine="23" w:firstLineChars="11"/>
                    <w:jc w:val="center"/>
                    <w:rPr>
                      <w:sz w:val="21"/>
                      <w:szCs w:val="21"/>
                    </w:rPr>
                  </w:pPr>
                  <w:r>
                    <w:rPr>
                      <w:rFonts w:hint="eastAsia"/>
                      <w:sz w:val="21"/>
                      <w:szCs w:val="21"/>
                    </w:rPr>
                    <w:t>45</w:t>
                  </w:r>
                </w:p>
              </w:tc>
            </w:tr>
          </w:tbl>
          <w:p>
            <w:pPr>
              <w:ind w:firstLine="48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241" w:type="pct"/>
            <w:tcBorders>
              <w:bottom w:val="single" w:color="auto" w:sz="4" w:space="0"/>
            </w:tcBorders>
            <w:shd w:val="clear" w:color="auto" w:fill="auto"/>
            <w:vAlign w:val="center"/>
          </w:tcPr>
          <w:p>
            <w:pPr>
              <w:spacing w:line="312" w:lineRule="exact"/>
              <w:ind w:firstLine="0" w:firstLineChars="0"/>
              <w:rPr>
                <w:sz w:val="21"/>
                <w:szCs w:val="21"/>
              </w:rPr>
            </w:pPr>
            <w:r>
              <w:rPr>
                <w:sz w:val="21"/>
                <w:szCs w:val="21"/>
              </w:rPr>
              <w:t>污</w:t>
            </w:r>
          </w:p>
          <w:p>
            <w:pPr>
              <w:spacing w:line="312" w:lineRule="exact"/>
              <w:ind w:firstLine="0" w:firstLineChars="0"/>
              <w:rPr>
                <w:sz w:val="21"/>
                <w:szCs w:val="21"/>
              </w:rPr>
            </w:pPr>
            <w:r>
              <w:rPr>
                <w:sz w:val="21"/>
                <w:szCs w:val="21"/>
              </w:rPr>
              <w:t>染</w:t>
            </w:r>
          </w:p>
          <w:p>
            <w:pPr>
              <w:spacing w:line="312" w:lineRule="exact"/>
              <w:ind w:firstLine="0" w:firstLineChars="0"/>
              <w:rPr>
                <w:sz w:val="21"/>
                <w:szCs w:val="21"/>
              </w:rPr>
            </w:pPr>
            <w:r>
              <w:rPr>
                <w:sz w:val="21"/>
                <w:szCs w:val="21"/>
              </w:rPr>
              <w:t>物</w:t>
            </w:r>
          </w:p>
          <w:p>
            <w:pPr>
              <w:spacing w:line="312" w:lineRule="exact"/>
              <w:ind w:firstLine="0" w:firstLineChars="0"/>
              <w:rPr>
                <w:sz w:val="21"/>
                <w:szCs w:val="21"/>
              </w:rPr>
            </w:pPr>
            <w:r>
              <w:rPr>
                <w:sz w:val="21"/>
                <w:szCs w:val="21"/>
              </w:rPr>
              <w:t>排</w:t>
            </w:r>
          </w:p>
          <w:p>
            <w:pPr>
              <w:spacing w:line="312" w:lineRule="exact"/>
              <w:ind w:firstLine="0" w:firstLineChars="0"/>
              <w:rPr>
                <w:sz w:val="21"/>
                <w:szCs w:val="21"/>
              </w:rPr>
            </w:pPr>
            <w:r>
              <w:rPr>
                <w:sz w:val="21"/>
                <w:szCs w:val="21"/>
              </w:rPr>
              <w:t>放</w:t>
            </w:r>
          </w:p>
          <w:p>
            <w:pPr>
              <w:spacing w:line="312" w:lineRule="exact"/>
              <w:ind w:firstLine="0" w:firstLineChars="0"/>
              <w:rPr>
                <w:sz w:val="21"/>
                <w:szCs w:val="21"/>
              </w:rPr>
            </w:pPr>
            <w:r>
              <w:rPr>
                <w:sz w:val="21"/>
                <w:szCs w:val="21"/>
              </w:rPr>
              <w:t>标</w:t>
            </w:r>
          </w:p>
          <w:p>
            <w:pPr>
              <w:spacing w:line="312" w:lineRule="exact"/>
              <w:ind w:firstLine="0" w:firstLineChars="0"/>
              <w:rPr>
                <w:sz w:val="21"/>
                <w:szCs w:val="21"/>
              </w:rPr>
            </w:pPr>
            <w:r>
              <w:rPr>
                <w:sz w:val="21"/>
                <w:szCs w:val="21"/>
              </w:rPr>
              <w:t>准</w:t>
            </w:r>
          </w:p>
        </w:tc>
        <w:tc>
          <w:tcPr>
            <w:tcW w:w="4759" w:type="pct"/>
            <w:tcBorders>
              <w:bottom w:val="single" w:color="auto" w:sz="4" w:space="0"/>
            </w:tcBorders>
            <w:shd w:val="clear" w:color="auto" w:fill="auto"/>
            <w:vAlign w:val="center"/>
          </w:tcPr>
          <w:p>
            <w:pPr>
              <w:spacing w:line="460" w:lineRule="exact"/>
              <w:ind w:firstLine="480"/>
            </w:pPr>
            <w:r>
              <w:rPr>
                <w:rFonts w:hint="eastAsia"/>
              </w:rPr>
              <w:t>（1）废气</w:t>
            </w:r>
          </w:p>
          <w:p>
            <w:pPr>
              <w:spacing w:line="460" w:lineRule="exact"/>
              <w:ind w:firstLine="480"/>
            </w:pPr>
            <w:r>
              <w:rPr>
                <w:rFonts w:hint="eastAsia"/>
              </w:rPr>
              <w:t>食堂油烟参考执行《饮食业油烟排放标准（试行）》（GB18483-2001）中相应标准要求，具体排放标准值见表12。</w:t>
            </w:r>
          </w:p>
          <w:p>
            <w:pPr>
              <w:pStyle w:val="7"/>
              <w:rPr>
                <w:color w:val="auto"/>
                <w:sz w:val="21"/>
                <w:szCs w:val="21"/>
              </w:rPr>
            </w:pPr>
            <w:r>
              <w:rPr>
                <w:rFonts w:hint="eastAsia"/>
                <w:color w:val="auto"/>
                <w:sz w:val="21"/>
                <w:szCs w:val="21"/>
              </w:rPr>
              <w:t>表12  饮食业油烟排放标准</w:t>
            </w:r>
          </w:p>
          <w:tbl>
            <w:tblPr>
              <w:tblStyle w:val="5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55"/>
              <w:gridCol w:w="39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500" w:type="pct"/>
                  <w:vAlign w:val="center"/>
                </w:tcPr>
                <w:p>
                  <w:pPr>
                    <w:keepNext/>
                    <w:keepLines/>
                    <w:spacing w:line="340" w:lineRule="exact"/>
                    <w:ind w:firstLine="23" w:firstLineChars="11"/>
                    <w:jc w:val="center"/>
                    <w:rPr>
                      <w:sz w:val="21"/>
                      <w:szCs w:val="21"/>
                    </w:rPr>
                  </w:pPr>
                  <w:r>
                    <w:rPr>
                      <w:rFonts w:hint="eastAsia"/>
                      <w:sz w:val="21"/>
                      <w:szCs w:val="21"/>
                    </w:rPr>
                    <w:t>饮食业单位规模</w:t>
                  </w:r>
                </w:p>
              </w:tc>
              <w:tc>
                <w:tcPr>
                  <w:tcW w:w="2500" w:type="pct"/>
                  <w:vAlign w:val="center"/>
                </w:tcPr>
                <w:p>
                  <w:pPr>
                    <w:keepNext/>
                    <w:keepLines/>
                    <w:spacing w:line="340" w:lineRule="exact"/>
                    <w:ind w:firstLine="23" w:firstLineChars="11"/>
                    <w:jc w:val="center"/>
                    <w:rPr>
                      <w:sz w:val="21"/>
                      <w:szCs w:val="21"/>
                    </w:rPr>
                  </w:pPr>
                  <w:r>
                    <w:rPr>
                      <w:rFonts w:hint="eastAsia"/>
                      <w:sz w:val="21"/>
                      <w:szCs w:val="21"/>
                    </w:rPr>
                    <w:t>小型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500" w:type="pct"/>
                  <w:vAlign w:val="center"/>
                </w:tcPr>
                <w:p>
                  <w:pPr>
                    <w:keepNext/>
                    <w:keepLines/>
                    <w:spacing w:line="340" w:lineRule="exact"/>
                    <w:ind w:firstLine="23" w:firstLineChars="11"/>
                    <w:jc w:val="center"/>
                    <w:rPr>
                      <w:sz w:val="21"/>
                      <w:szCs w:val="21"/>
                    </w:rPr>
                  </w:pPr>
                  <w:r>
                    <w:rPr>
                      <w:rFonts w:hint="eastAsia"/>
                      <w:sz w:val="21"/>
                      <w:szCs w:val="21"/>
                    </w:rPr>
                    <w:t>最高允许排放浓度（mg/m</w:t>
                  </w:r>
                  <w:r>
                    <w:rPr>
                      <w:rFonts w:hint="eastAsia"/>
                      <w:sz w:val="21"/>
                      <w:szCs w:val="21"/>
                      <w:vertAlign w:val="superscript"/>
                    </w:rPr>
                    <w:t>3</w:t>
                  </w:r>
                  <w:r>
                    <w:rPr>
                      <w:rFonts w:hint="eastAsia"/>
                      <w:sz w:val="21"/>
                      <w:szCs w:val="21"/>
                    </w:rPr>
                    <w:t>）</w:t>
                  </w:r>
                </w:p>
              </w:tc>
              <w:tc>
                <w:tcPr>
                  <w:tcW w:w="2500" w:type="pct"/>
                  <w:vAlign w:val="center"/>
                </w:tcPr>
                <w:p>
                  <w:pPr>
                    <w:keepNext/>
                    <w:keepLines/>
                    <w:spacing w:line="340" w:lineRule="exact"/>
                    <w:ind w:firstLine="23" w:firstLineChars="11"/>
                    <w:jc w:val="center"/>
                    <w:rPr>
                      <w:sz w:val="21"/>
                      <w:szCs w:val="21"/>
                    </w:rPr>
                  </w:pPr>
                  <w:r>
                    <w:rPr>
                      <w:rFonts w:hint="eastAsia"/>
                      <w:sz w:val="21"/>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500" w:type="pct"/>
                  <w:vAlign w:val="center"/>
                </w:tcPr>
                <w:p>
                  <w:pPr>
                    <w:keepNext/>
                    <w:keepLines/>
                    <w:spacing w:line="340" w:lineRule="exact"/>
                    <w:ind w:firstLine="23" w:firstLineChars="11"/>
                    <w:jc w:val="center"/>
                    <w:rPr>
                      <w:sz w:val="21"/>
                      <w:szCs w:val="21"/>
                    </w:rPr>
                  </w:pPr>
                  <w:r>
                    <w:rPr>
                      <w:rFonts w:hint="eastAsia"/>
                      <w:sz w:val="21"/>
                      <w:szCs w:val="21"/>
                    </w:rPr>
                    <w:t>净化设施最低去除效率（%）</w:t>
                  </w:r>
                </w:p>
              </w:tc>
              <w:tc>
                <w:tcPr>
                  <w:tcW w:w="2500" w:type="pct"/>
                  <w:vAlign w:val="center"/>
                </w:tcPr>
                <w:p>
                  <w:pPr>
                    <w:keepNext/>
                    <w:keepLines/>
                    <w:spacing w:line="340" w:lineRule="exact"/>
                    <w:ind w:firstLine="23" w:firstLineChars="11"/>
                    <w:jc w:val="center"/>
                    <w:rPr>
                      <w:sz w:val="21"/>
                      <w:szCs w:val="21"/>
                    </w:rPr>
                  </w:pPr>
                  <w:r>
                    <w:rPr>
                      <w:rFonts w:hint="eastAsia"/>
                      <w:sz w:val="21"/>
                      <w:szCs w:val="21"/>
                    </w:rPr>
                    <w:t>60</w:t>
                  </w:r>
                </w:p>
              </w:tc>
            </w:tr>
          </w:tbl>
          <w:p>
            <w:pPr>
              <w:ind w:firstLine="480"/>
            </w:pPr>
            <w:r>
              <w:rPr>
                <w:rFonts w:hint="eastAsia"/>
              </w:rPr>
              <w:t>（2）废水</w:t>
            </w:r>
          </w:p>
          <w:p>
            <w:pPr>
              <w:spacing w:line="480" w:lineRule="exact"/>
              <w:ind w:firstLine="480"/>
              <w:rPr>
                <w:rFonts w:hAnsi="宋体"/>
                <w:b/>
                <w:bCs/>
              </w:rPr>
            </w:pPr>
            <w:r>
              <w:rPr>
                <w:rFonts w:hint="eastAsia"/>
              </w:rPr>
              <w:t>项目食堂废水经隔油池后同其他生活污水一同进入化粪池预处理，由污水罐车定期将污水送至五台山污水处理厂处理</w:t>
            </w:r>
            <w:r>
              <w:rPr>
                <w:rFonts w:hint="eastAsia" w:hAnsi="宋体"/>
              </w:rPr>
              <w:t>，因此，项目废水排放执行《污水排入城镇下水道水质标准》（GB/T31962-2015）中A级标准要求，具体见下表13。</w:t>
            </w:r>
          </w:p>
          <w:p>
            <w:pPr>
              <w:pStyle w:val="7"/>
              <w:rPr>
                <w:color w:val="auto"/>
                <w:sz w:val="21"/>
                <w:szCs w:val="21"/>
              </w:rPr>
            </w:pPr>
            <w:r>
              <w:rPr>
                <w:rFonts w:hint="eastAsia"/>
                <w:color w:val="auto"/>
                <w:sz w:val="21"/>
                <w:szCs w:val="21"/>
              </w:rPr>
              <w:t>表13  《污水排入城镇下水道水质标准》（GB/T31962-2015）A级标准</w:t>
            </w:r>
          </w:p>
          <w:tbl>
            <w:tblPr>
              <w:tblStyle w:val="4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59"/>
              <w:gridCol w:w="862"/>
              <w:gridCol w:w="728"/>
              <w:gridCol w:w="674"/>
              <w:gridCol w:w="612"/>
              <w:gridCol w:w="720"/>
              <w:gridCol w:w="612"/>
              <w:gridCol w:w="704"/>
              <w:gridCol w:w="894"/>
              <w:gridCol w:w="897"/>
              <w:gridCol w:w="6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53" w:type="pct"/>
                  <w:vAlign w:val="center"/>
                </w:tcPr>
                <w:p>
                  <w:pPr>
                    <w:keepNext/>
                    <w:keepLines/>
                    <w:spacing w:line="340" w:lineRule="exact"/>
                    <w:ind w:firstLine="23" w:firstLineChars="11"/>
                    <w:jc w:val="center"/>
                    <w:rPr>
                      <w:sz w:val="21"/>
                      <w:szCs w:val="21"/>
                    </w:rPr>
                  </w:pPr>
                  <w:r>
                    <w:rPr>
                      <w:sz w:val="21"/>
                      <w:szCs w:val="21"/>
                    </w:rPr>
                    <w:t>项目</w:t>
                  </w:r>
                </w:p>
              </w:tc>
              <w:tc>
                <w:tcPr>
                  <w:tcW w:w="545" w:type="pct"/>
                  <w:vAlign w:val="center"/>
                </w:tcPr>
                <w:p>
                  <w:pPr>
                    <w:keepNext/>
                    <w:keepLines/>
                    <w:spacing w:line="340" w:lineRule="exact"/>
                    <w:ind w:firstLine="23" w:firstLineChars="11"/>
                    <w:jc w:val="center"/>
                    <w:rPr>
                      <w:sz w:val="21"/>
                      <w:szCs w:val="21"/>
                    </w:rPr>
                  </w:pPr>
                  <w:r>
                    <w:rPr>
                      <w:sz w:val="21"/>
                      <w:szCs w:val="21"/>
                    </w:rPr>
                    <w:t>pH</w:t>
                  </w:r>
                </w:p>
              </w:tc>
              <w:tc>
                <w:tcPr>
                  <w:tcW w:w="460" w:type="pct"/>
                  <w:vAlign w:val="center"/>
                </w:tcPr>
                <w:p>
                  <w:pPr>
                    <w:keepNext/>
                    <w:keepLines/>
                    <w:spacing w:line="340" w:lineRule="exact"/>
                    <w:ind w:firstLine="23" w:firstLineChars="11"/>
                    <w:jc w:val="center"/>
                    <w:rPr>
                      <w:sz w:val="21"/>
                      <w:szCs w:val="21"/>
                    </w:rPr>
                  </w:pPr>
                  <w:r>
                    <w:rPr>
                      <w:rFonts w:hint="eastAsia"/>
                      <w:sz w:val="21"/>
                      <w:szCs w:val="21"/>
                    </w:rPr>
                    <w:t>COD</w:t>
                  </w:r>
                </w:p>
              </w:tc>
              <w:tc>
                <w:tcPr>
                  <w:tcW w:w="426" w:type="pct"/>
                  <w:vAlign w:val="center"/>
                </w:tcPr>
                <w:p>
                  <w:pPr>
                    <w:keepNext/>
                    <w:keepLines/>
                    <w:spacing w:line="340" w:lineRule="exact"/>
                    <w:ind w:firstLine="23" w:firstLineChars="11"/>
                    <w:jc w:val="center"/>
                    <w:rPr>
                      <w:sz w:val="21"/>
                      <w:szCs w:val="21"/>
                    </w:rPr>
                  </w:pPr>
                  <w:r>
                    <w:rPr>
                      <w:rFonts w:hint="eastAsia"/>
                      <w:sz w:val="21"/>
                      <w:szCs w:val="21"/>
                    </w:rPr>
                    <w:t>BOD</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氨氮</w:t>
                  </w:r>
                </w:p>
              </w:tc>
              <w:tc>
                <w:tcPr>
                  <w:tcW w:w="455" w:type="pct"/>
                  <w:vAlign w:val="center"/>
                </w:tcPr>
                <w:p>
                  <w:pPr>
                    <w:keepNext/>
                    <w:keepLines/>
                    <w:spacing w:line="340" w:lineRule="exact"/>
                    <w:ind w:firstLine="23" w:firstLineChars="11"/>
                    <w:jc w:val="center"/>
                    <w:rPr>
                      <w:sz w:val="21"/>
                      <w:szCs w:val="21"/>
                    </w:rPr>
                  </w:pPr>
                  <w:r>
                    <w:rPr>
                      <w:rFonts w:hint="eastAsia"/>
                      <w:sz w:val="21"/>
                      <w:szCs w:val="21"/>
                    </w:rPr>
                    <w:t>石油类</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SS</w:t>
                  </w:r>
                </w:p>
              </w:tc>
              <w:tc>
                <w:tcPr>
                  <w:tcW w:w="445" w:type="pct"/>
                  <w:vAlign w:val="center"/>
                </w:tcPr>
                <w:p>
                  <w:pPr>
                    <w:keepNext/>
                    <w:keepLines/>
                    <w:spacing w:line="340" w:lineRule="exact"/>
                    <w:ind w:firstLine="23" w:firstLineChars="11"/>
                    <w:jc w:val="center"/>
                    <w:rPr>
                      <w:sz w:val="21"/>
                      <w:szCs w:val="21"/>
                    </w:rPr>
                  </w:pPr>
                  <w:r>
                    <w:rPr>
                      <w:rFonts w:hint="eastAsia"/>
                      <w:sz w:val="21"/>
                      <w:szCs w:val="21"/>
                    </w:rPr>
                    <w:t>氟化物</w:t>
                  </w:r>
                </w:p>
              </w:tc>
              <w:tc>
                <w:tcPr>
                  <w:tcW w:w="565" w:type="pct"/>
                  <w:vAlign w:val="center"/>
                </w:tcPr>
                <w:p>
                  <w:pPr>
                    <w:keepNext/>
                    <w:keepLines/>
                    <w:spacing w:line="340" w:lineRule="exact"/>
                    <w:ind w:firstLine="23" w:firstLineChars="11"/>
                    <w:jc w:val="center"/>
                    <w:rPr>
                      <w:sz w:val="21"/>
                      <w:szCs w:val="21"/>
                    </w:rPr>
                  </w:pPr>
                  <w:r>
                    <w:rPr>
                      <w:rFonts w:hint="eastAsia"/>
                      <w:sz w:val="21"/>
                      <w:szCs w:val="21"/>
                    </w:rPr>
                    <w:t>总氰化物</w:t>
                  </w:r>
                </w:p>
              </w:tc>
              <w:tc>
                <w:tcPr>
                  <w:tcW w:w="567" w:type="pct"/>
                  <w:vAlign w:val="center"/>
                </w:tcPr>
                <w:p>
                  <w:pPr>
                    <w:keepNext/>
                    <w:keepLines/>
                    <w:spacing w:line="340" w:lineRule="exact"/>
                    <w:ind w:firstLine="23" w:firstLineChars="11"/>
                    <w:jc w:val="center"/>
                    <w:rPr>
                      <w:sz w:val="21"/>
                      <w:szCs w:val="21"/>
                    </w:rPr>
                  </w:pPr>
                  <w:r>
                    <w:rPr>
                      <w:rFonts w:hint="eastAsia"/>
                      <w:sz w:val="21"/>
                      <w:szCs w:val="21"/>
                    </w:rPr>
                    <w:t>动植物油</w:t>
                  </w:r>
                </w:p>
              </w:tc>
              <w:tc>
                <w:tcPr>
                  <w:tcW w:w="412" w:type="pct"/>
                  <w:vAlign w:val="center"/>
                </w:tcPr>
                <w:p>
                  <w:pPr>
                    <w:keepNext/>
                    <w:keepLines/>
                    <w:spacing w:line="340" w:lineRule="exact"/>
                    <w:ind w:firstLine="23" w:firstLineChars="11"/>
                    <w:jc w:val="center"/>
                    <w:rPr>
                      <w:sz w:val="21"/>
                      <w:szCs w:val="21"/>
                    </w:rPr>
                  </w:pPr>
                  <w:r>
                    <w:rPr>
                      <w:rFonts w:hint="eastAsia"/>
                      <w:sz w:val="21"/>
                      <w:szCs w:val="21"/>
                    </w:rPr>
                    <w:t>总磷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53" w:type="pct"/>
                  <w:vAlign w:val="center"/>
                </w:tcPr>
                <w:p>
                  <w:pPr>
                    <w:keepNext/>
                    <w:keepLines/>
                    <w:spacing w:line="340" w:lineRule="exact"/>
                    <w:ind w:firstLine="23" w:firstLineChars="11"/>
                    <w:jc w:val="center"/>
                    <w:rPr>
                      <w:sz w:val="21"/>
                      <w:szCs w:val="21"/>
                    </w:rPr>
                  </w:pPr>
                  <w:r>
                    <w:rPr>
                      <w:sz w:val="21"/>
                      <w:szCs w:val="21"/>
                    </w:rPr>
                    <w:t>标准</w:t>
                  </w:r>
                </w:p>
              </w:tc>
              <w:tc>
                <w:tcPr>
                  <w:tcW w:w="545" w:type="pct"/>
                  <w:vAlign w:val="center"/>
                </w:tcPr>
                <w:p>
                  <w:pPr>
                    <w:keepNext/>
                    <w:keepLines/>
                    <w:spacing w:line="340" w:lineRule="exact"/>
                    <w:ind w:firstLine="23" w:firstLineChars="11"/>
                    <w:jc w:val="center"/>
                    <w:rPr>
                      <w:sz w:val="21"/>
                      <w:szCs w:val="21"/>
                    </w:rPr>
                  </w:pPr>
                  <w:r>
                    <w:rPr>
                      <w:rFonts w:hint="eastAsia"/>
                      <w:sz w:val="21"/>
                      <w:szCs w:val="21"/>
                    </w:rPr>
                    <w:t>6</w:t>
                  </w:r>
                  <w:r>
                    <w:rPr>
                      <w:sz w:val="21"/>
                      <w:szCs w:val="21"/>
                    </w:rPr>
                    <w:t>.5～</w:t>
                  </w:r>
                  <w:r>
                    <w:rPr>
                      <w:rFonts w:hint="eastAsia"/>
                      <w:sz w:val="21"/>
                      <w:szCs w:val="21"/>
                    </w:rPr>
                    <w:t>9</w:t>
                  </w:r>
                  <w:r>
                    <w:rPr>
                      <w:sz w:val="21"/>
                      <w:szCs w:val="21"/>
                    </w:rPr>
                    <w:t>.5</w:t>
                  </w:r>
                </w:p>
              </w:tc>
              <w:tc>
                <w:tcPr>
                  <w:tcW w:w="460" w:type="pct"/>
                  <w:vAlign w:val="center"/>
                </w:tcPr>
                <w:p>
                  <w:pPr>
                    <w:keepNext/>
                    <w:keepLines/>
                    <w:spacing w:line="340" w:lineRule="exact"/>
                    <w:ind w:firstLine="23" w:firstLineChars="11"/>
                    <w:jc w:val="center"/>
                    <w:rPr>
                      <w:sz w:val="21"/>
                      <w:szCs w:val="21"/>
                    </w:rPr>
                  </w:pPr>
                  <w:r>
                    <w:rPr>
                      <w:rFonts w:hint="eastAsia"/>
                      <w:sz w:val="21"/>
                      <w:szCs w:val="21"/>
                    </w:rPr>
                    <w:t>≤500</w:t>
                  </w:r>
                </w:p>
              </w:tc>
              <w:tc>
                <w:tcPr>
                  <w:tcW w:w="426" w:type="pct"/>
                  <w:vAlign w:val="center"/>
                </w:tcPr>
                <w:p>
                  <w:pPr>
                    <w:keepNext/>
                    <w:keepLines/>
                    <w:spacing w:line="340" w:lineRule="exact"/>
                    <w:ind w:firstLine="23" w:firstLineChars="11"/>
                    <w:jc w:val="center"/>
                    <w:rPr>
                      <w:sz w:val="21"/>
                      <w:szCs w:val="21"/>
                    </w:rPr>
                  </w:pPr>
                  <w:r>
                    <w:rPr>
                      <w:rFonts w:hint="eastAsia"/>
                      <w:sz w:val="21"/>
                      <w:szCs w:val="21"/>
                    </w:rPr>
                    <w:t>≤350</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≤45</w:t>
                  </w:r>
                </w:p>
              </w:tc>
              <w:tc>
                <w:tcPr>
                  <w:tcW w:w="455" w:type="pct"/>
                  <w:vAlign w:val="center"/>
                </w:tcPr>
                <w:p>
                  <w:pPr>
                    <w:keepNext/>
                    <w:keepLines/>
                    <w:spacing w:line="340" w:lineRule="exact"/>
                    <w:ind w:firstLine="23" w:firstLineChars="11"/>
                    <w:jc w:val="center"/>
                    <w:rPr>
                      <w:sz w:val="21"/>
                      <w:szCs w:val="21"/>
                    </w:rPr>
                  </w:pPr>
                  <w:r>
                    <w:rPr>
                      <w:rFonts w:hint="eastAsia"/>
                      <w:sz w:val="21"/>
                      <w:szCs w:val="21"/>
                    </w:rPr>
                    <w:t>≤</w:t>
                  </w:r>
                  <w:r>
                    <w:rPr>
                      <w:sz w:val="21"/>
                      <w:szCs w:val="21"/>
                    </w:rPr>
                    <w:t>20</w:t>
                  </w:r>
                </w:p>
              </w:tc>
              <w:tc>
                <w:tcPr>
                  <w:tcW w:w="387" w:type="pct"/>
                  <w:vAlign w:val="center"/>
                </w:tcPr>
                <w:p>
                  <w:pPr>
                    <w:keepNext/>
                    <w:keepLines/>
                    <w:spacing w:line="340" w:lineRule="exact"/>
                    <w:ind w:firstLine="23" w:firstLineChars="11"/>
                    <w:jc w:val="center"/>
                    <w:rPr>
                      <w:sz w:val="21"/>
                      <w:szCs w:val="21"/>
                    </w:rPr>
                  </w:pPr>
                  <w:r>
                    <w:rPr>
                      <w:rFonts w:hint="eastAsia"/>
                      <w:sz w:val="21"/>
                      <w:szCs w:val="21"/>
                    </w:rPr>
                    <w:t>≤400</w:t>
                  </w:r>
                </w:p>
              </w:tc>
              <w:tc>
                <w:tcPr>
                  <w:tcW w:w="445" w:type="pct"/>
                  <w:vAlign w:val="center"/>
                </w:tcPr>
                <w:p>
                  <w:pPr>
                    <w:keepNext/>
                    <w:keepLines/>
                    <w:spacing w:line="340" w:lineRule="exact"/>
                    <w:ind w:firstLine="23" w:firstLineChars="11"/>
                    <w:jc w:val="center"/>
                    <w:rPr>
                      <w:sz w:val="21"/>
                      <w:szCs w:val="21"/>
                    </w:rPr>
                  </w:pPr>
                  <w:r>
                    <w:rPr>
                      <w:rFonts w:hint="eastAsia"/>
                      <w:sz w:val="21"/>
                      <w:szCs w:val="21"/>
                    </w:rPr>
                    <w:t>≤20</w:t>
                  </w:r>
                </w:p>
              </w:tc>
              <w:tc>
                <w:tcPr>
                  <w:tcW w:w="565" w:type="pct"/>
                  <w:vAlign w:val="center"/>
                </w:tcPr>
                <w:p>
                  <w:pPr>
                    <w:keepNext/>
                    <w:keepLines/>
                    <w:spacing w:line="340" w:lineRule="exact"/>
                    <w:ind w:firstLine="23" w:firstLineChars="11"/>
                    <w:jc w:val="center"/>
                    <w:rPr>
                      <w:sz w:val="21"/>
                      <w:szCs w:val="21"/>
                    </w:rPr>
                  </w:pPr>
                  <w:r>
                    <w:rPr>
                      <w:rFonts w:hint="eastAsia"/>
                      <w:sz w:val="21"/>
                      <w:szCs w:val="21"/>
                    </w:rPr>
                    <w:t>≤0.5</w:t>
                  </w:r>
                </w:p>
              </w:tc>
              <w:tc>
                <w:tcPr>
                  <w:tcW w:w="567" w:type="pct"/>
                  <w:vAlign w:val="center"/>
                </w:tcPr>
                <w:p>
                  <w:pPr>
                    <w:keepNext/>
                    <w:keepLines/>
                    <w:spacing w:line="340" w:lineRule="exact"/>
                    <w:ind w:firstLine="23" w:firstLineChars="11"/>
                    <w:jc w:val="center"/>
                    <w:rPr>
                      <w:sz w:val="21"/>
                      <w:szCs w:val="21"/>
                    </w:rPr>
                  </w:pPr>
                  <w:r>
                    <w:rPr>
                      <w:rFonts w:hint="eastAsia"/>
                      <w:sz w:val="21"/>
                      <w:szCs w:val="21"/>
                    </w:rPr>
                    <w:t>≤100</w:t>
                  </w:r>
                </w:p>
              </w:tc>
              <w:tc>
                <w:tcPr>
                  <w:tcW w:w="412" w:type="pct"/>
                  <w:vAlign w:val="center"/>
                </w:tcPr>
                <w:p>
                  <w:pPr>
                    <w:keepNext/>
                    <w:keepLines/>
                    <w:spacing w:line="340" w:lineRule="exact"/>
                    <w:ind w:firstLine="23" w:firstLineChars="11"/>
                    <w:jc w:val="center"/>
                    <w:rPr>
                      <w:sz w:val="21"/>
                      <w:szCs w:val="21"/>
                    </w:rPr>
                  </w:pPr>
                  <w:r>
                    <w:rPr>
                      <w:rFonts w:hint="eastAsia"/>
                      <w:sz w:val="21"/>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000" w:type="pct"/>
                  <w:gridSpan w:val="11"/>
                  <w:vAlign w:val="center"/>
                </w:tcPr>
                <w:p>
                  <w:pPr>
                    <w:keepNext/>
                    <w:keepLines/>
                    <w:spacing w:line="340" w:lineRule="exact"/>
                    <w:ind w:firstLine="23" w:firstLineChars="11"/>
                    <w:jc w:val="center"/>
                    <w:rPr>
                      <w:sz w:val="21"/>
                      <w:szCs w:val="21"/>
                    </w:rPr>
                  </w:pPr>
                  <w:r>
                    <w:rPr>
                      <w:rFonts w:hint="eastAsia"/>
                      <w:sz w:val="21"/>
                      <w:szCs w:val="21"/>
                    </w:rPr>
                    <w:t>单位：mg/L（pH除外）</w:t>
                  </w:r>
                </w:p>
              </w:tc>
            </w:tr>
          </w:tbl>
          <w:p>
            <w:pPr>
              <w:ind w:firstLine="480"/>
            </w:pPr>
            <w:r>
              <w:rPr>
                <w:rFonts w:hint="eastAsia"/>
              </w:rPr>
              <w:t>（3）</w:t>
            </w:r>
            <w:r>
              <w:t>噪声</w:t>
            </w:r>
          </w:p>
          <w:p>
            <w:pPr>
              <w:spacing w:line="460" w:lineRule="exact"/>
              <w:ind w:firstLine="480"/>
              <w:rPr>
                <w:rFonts w:hAnsi="宋体"/>
              </w:rPr>
            </w:pPr>
            <w:r>
              <w:rPr>
                <w:rFonts w:hint="eastAsia"/>
              </w:rPr>
              <w:t xml:space="preserve">运营期：场界噪声执行《工业企业厂界环境噪声排放标准》 </w:t>
            </w:r>
            <w:r>
              <w:t>（GB12348-2008）中</w:t>
            </w:r>
            <w:r>
              <w:rPr>
                <w:rFonts w:hint="eastAsia"/>
              </w:rPr>
              <w:t>1</w:t>
            </w:r>
            <w:r>
              <w:t>类区标准限值，即昼间</w:t>
            </w:r>
            <w:r>
              <w:rPr>
                <w:rFonts w:hint="eastAsia"/>
              </w:rPr>
              <w:t>55</w:t>
            </w:r>
            <w:r>
              <w:t>dB（A），夜间</w:t>
            </w:r>
            <w:r>
              <w:rPr>
                <w:rFonts w:hint="eastAsia"/>
              </w:rPr>
              <w:t>45</w:t>
            </w:r>
            <w: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241" w:type="pct"/>
            <w:shd w:val="clear" w:color="auto" w:fill="auto"/>
            <w:vAlign w:val="center"/>
          </w:tcPr>
          <w:p>
            <w:pPr>
              <w:spacing w:line="312" w:lineRule="exact"/>
              <w:ind w:firstLine="0" w:firstLineChars="0"/>
              <w:jc w:val="center"/>
              <w:rPr>
                <w:sz w:val="21"/>
                <w:szCs w:val="21"/>
              </w:rPr>
            </w:pPr>
            <w:r>
              <w:rPr>
                <w:sz w:val="21"/>
                <w:szCs w:val="21"/>
              </w:rPr>
              <w:t>总</w:t>
            </w:r>
          </w:p>
          <w:p>
            <w:pPr>
              <w:spacing w:line="312" w:lineRule="exact"/>
              <w:ind w:left="-58" w:leftChars="-24" w:firstLine="23" w:firstLineChars="11"/>
              <w:jc w:val="center"/>
              <w:rPr>
                <w:sz w:val="21"/>
                <w:szCs w:val="21"/>
              </w:rPr>
            </w:pPr>
            <w:r>
              <w:rPr>
                <w:sz w:val="21"/>
                <w:szCs w:val="21"/>
              </w:rPr>
              <w:t>量</w:t>
            </w:r>
          </w:p>
          <w:p>
            <w:pPr>
              <w:spacing w:line="312" w:lineRule="exact"/>
              <w:ind w:left="-58" w:leftChars="-24" w:firstLine="23" w:firstLineChars="11"/>
              <w:jc w:val="center"/>
              <w:rPr>
                <w:sz w:val="21"/>
                <w:szCs w:val="21"/>
              </w:rPr>
            </w:pPr>
            <w:r>
              <w:rPr>
                <w:sz w:val="21"/>
                <w:szCs w:val="21"/>
              </w:rPr>
              <w:t>控</w:t>
            </w:r>
          </w:p>
          <w:p>
            <w:pPr>
              <w:spacing w:line="312" w:lineRule="exact"/>
              <w:ind w:left="-58" w:leftChars="-24" w:firstLine="23" w:firstLineChars="11"/>
              <w:jc w:val="center"/>
              <w:rPr>
                <w:sz w:val="21"/>
                <w:szCs w:val="21"/>
              </w:rPr>
            </w:pPr>
            <w:r>
              <w:rPr>
                <w:sz w:val="21"/>
                <w:szCs w:val="21"/>
              </w:rPr>
              <w:t>制</w:t>
            </w:r>
          </w:p>
          <w:p>
            <w:pPr>
              <w:spacing w:line="312" w:lineRule="exact"/>
              <w:ind w:left="-58" w:leftChars="-24" w:firstLine="23" w:firstLineChars="11"/>
              <w:jc w:val="center"/>
              <w:rPr>
                <w:sz w:val="21"/>
                <w:szCs w:val="21"/>
              </w:rPr>
            </w:pPr>
            <w:r>
              <w:rPr>
                <w:sz w:val="21"/>
                <w:szCs w:val="21"/>
              </w:rPr>
              <w:t>指</w:t>
            </w:r>
          </w:p>
          <w:p>
            <w:pPr>
              <w:spacing w:line="312" w:lineRule="exact"/>
              <w:ind w:left="-58" w:leftChars="-24" w:firstLine="23" w:firstLineChars="11"/>
              <w:jc w:val="center"/>
              <w:rPr>
                <w:sz w:val="21"/>
                <w:szCs w:val="21"/>
              </w:rPr>
            </w:pPr>
            <w:r>
              <w:rPr>
                <w:sz w:val="21"/>
                <w:szCs w:val="21"/>
              </w:rPr>
              <w:t>标</w:t>
            </w:r>
          </w:p>
        </w:tc>
        <w:tc>
          <w:tcPr>
            <w:tcW w:w="4759" w:type="pct"/>
            <w:shd w:val="clear" w:color="auto" w:fill="auto"/>
            <w:vAlign w:val="center"/>
          </w:tcPr>
          <w:p>
            <w:pPr>
              <w:ind w:firstLine="480"/>
            </w:pPr>
            <w:r>
              <w:rPr>
                <w:rFonts w:hint="eastAsia"/>
              </w:rPr>
              <w:t>根据山西省环境保护厅“关于印发《山西省环境保护厅建设项目主要污染物排放总量核定办法》的通知”（晋环发【2015】25号文），本项目不属于环境统计重点工业源调查行业范围内（《国民经济行业分类》（GB/T4754）中采矿业，制造业，电力、燃气及水的生产和供应业，3个门类39个行业）的建设项目，不需申请污染物排放总量控制指标。</w:t>
            </w:r>
          </w:p>
        </w:tc>
      </w:tr>
    </w:tbl>
    <w:p>
      <w:pPr>
        <w:pStyle w:val="2"/>
        <w:sectPr>
          <w:headerReference r:id="rId21" w:type="default"/>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pStyle w:val="2"/>
      </w:pPr>
      <w:r>
        <w:pict>
          <v:shape id="Text Box 2570" o:spid="_x0000_s1029" o:spt="202" type="#_x0000_t202" style="position:absolute;left:0pt;margin-left:-2.45pt;margin-top:-32.75pt;height:32.15pt;width:199.2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">
            <v:path/>
            <v:fill on="f" focussize="0,0"/>
            <v:stroke on="f" color="#FFFFFF" joinstyle="miter"/>
            <v:imagedata o:title=""/>
            <o:lock v:ext="edit"/>
            <v:textbox>
              <w:txbxContent>
                <w:p>
                  <w:pPr>
                    <w:ind w:firstLine="0" w:firstLineChars="0"/>
                    <w:rPr>
                      <w:rFonts w:ascii="黑体" w:eastAsia="黑体"/>
                      <w:bCs/>
                      <w:color w:val="000000"/>
                      <w:sz w:val="30"/>
                    </w:rPr>
                  </w:pPr>
                  <w:r>
                    <w:rPr>
                      <w:rFonts w:hint="eastAsia" w:ascii="黑体" w:eastAsia="黑体"/>
                      <w:bCs/>
                      <w:color w:val="000000"/>
                      <w:sz w:val="30"/>
                    </w:rPr>
                    <w:t>建设项目工程分析</w:t>
                  </w:r>
                </w:p>
              </w:txbxContent>
            </v:textbox>
          </v:shape>
        </w:pict>
      </w:r>
      <w:r>
        <w:rPr>
          <w:rFonts w:hint="eastAsia"/>
        </w:rPr>
        <w:t>工艺流程简述（图示）</w:t>
      </w:r>
    </w:p>
    <w:p>
      <w:pPr>
        <w:ind w:firstLine="480"/>
      </w:pPr>
      <w:r>
        <w:rPr>
          <w:rFonts w:hint="eastAsia"/>
        </w:rPr>
        <w:t>本项目为五台山警苑山庄（警苑工作站）建设项目，属于非生产性建设项目，根据现场勘察，本项目已经基本建成，不涉及施工期建设内容，项目运营期流程图及产污环节如下图2所示：</w:t>
      </w:r>
    </w:p>
    <w:p>
      <w:pPr>
        <w:ind w:firstLine="422"/>
      </w:pPr>
      <w:r>
        <w:rPr>
          <w:b/>
          <w:bCs/>
          <w:sz w:val="21"/>
          <w:szCs w:val="21"/>
        </w:rPr>
        <w:pict>
          <v:rect id="_x0000_s1115" o:spid="_x0000_s1115" o:spt="1" style="position:absolute;left:0pt;margin-left:289.8pt;margin-top:19.75pt;height:30.1pt;width:129.75pt;z-index:251684864;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生活垃圾、生活污水</w:t>
                  </w:r>
                </w:p>
              </w:txbxContent>
            </v:textbox>
          </v:rect>
        </w:pict>
      </w:r>
      <w:r>
        <w:pict>
          <v:rect id="_x0000_s1105" o:spid="_x0000_s1105" o:spt="1" style="position:absolute;left:0pt;margin-left:182.25pt;margin-top:22.35pt;height:30.1pt;width:73.25pt;z-index:251675648;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工作站</w:t>
                  </w:r>
                </w:p>
              </w:txbxContent>
            </v:textbox>
          </v:rect>
        </w:pict>
      </w:r>
    </w:p>
    <w:p>
      <w:pPr>
        <w:ind w:firstLine="422"/>
        <w:rPr>
          <w:b/>
          <w:bCs/>
          <w:sz w:val="21"/>
          <w:szCs w:val="21"/>
        </w:rPr>
      </w:pPr>
      <w:r>
        <w:rPr>
          <w:b/>
          <w:bCs/>
          <w:sz w:val="21"/>
          <w:szCs w:val="21"/>
        </w:rPr>
        <w:pict>
          <v:shape id="_x0000_s1113" o:spid="_x0000_s1113" o:spt="32" type="#_x0000_t32" style="position:absolute;left:0pt;margin-left:255.7pt;margin-top:12.35pt;height:0pt;width:51.35pt;z-index:251683840;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00" o:spid="_x0000_s1100" o:spt="32" type="#_x0000_t32" style="position:absolute;left:0pt;flip:y;margin-left:129.7pt;margin-top:12.35pt;height:296.85pt;width:0.65pt;z-index:251670528;mso-width-relative:page;mso-height-relative:page;" o:connectortype="straight" filled="f" stroked="t" coordsize="21600,21600">
            <v:path arrowok="t"/>
            <v:fill on="f" focussize="0,0"/>
            <v:stroke color="#000000"/>
            <v:imagedata o:title=""/>
            <o:lock v:ext="edit"/>
          </v:shape>
        </w:pict>
      </w:r>
      <w:r>
        <w:rPr>
          <w:b/>
          <w:bCs/>
          <w:sz w:val="21"/>
          <w:szCs w:val="21"/>
        </w:rPr>
        <w:pict>
          <v:shape id="_x0000_s1101" o:spid="_x0000_s1101" o:spt="32" type="#_x0000_t32" style="position:absolute;left:0pt;margin-left:130.35pt;margin-top:12.35pt;height:0pt;width:51.35pt;z-index:251671552;mso-width-relative:page;mso-height-relative:page;" o:connectortype="straight" filled="f" stroked="t" coordsize="21600,21600">
            <v:path arrowok="t"/>
            <v:fill on="f" focussize="0,0"/>
            <v:stroke color="#000000" endarrow="block"/>
            <v:imagedata o:title=""/>
            <o:lock v:ext="edit"/>
          </v:shape>
        </w:pict>
      </w:r>
    </w:p>
    <w:p>
      <w:pPr>
        <w:ind w:firstLine="422"/>
        <w:rPr>
          <w:b/>
          <w:bCs/>
          <w:sz w:val="21"/>
          <w:szCs w:val="21"/>
        </w:rPr>
      </w:pPr>
    </w:p>
    <w:p>
      <w:pPr>
        <w:ind w:firstLine="422"/>
        <w:rPr>
          <w:b/>
          <w:bCs/>
          <w:sz w:val="21"/>
          <w:szCs w:val="21"/>
        </w:rPr>
      </w:pPr>
      <w:r>
        <w:rPr>
          <w:b/>
          <w:bCs/>
          <w:sz w:val="21"/>
          <w:szCs w:val="21"/>
        </w:rPr>
        <w:pict>
          <v:shape id="_x0000_s1116" o:spid="_x0000_s1116" o:spt="32" type="#_x0000_t32" style="position:absolute;left:0pt;margin-left:256.8pt;margin-top:17.9pt;height:0pt;width:51.35pt;z-index:251685888;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rect id="_x0000_s1117" o:spid="_x0000_s1117" o:spt="1" style="position:absolute;left:0pt;margin-left:290.9pt;margin-top:1.25pt;height:30.1pt;width:129.75pt;z-index:251686912;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生活垃圾</w:t>
                  </w:r>
                </w:p>
              </w:txbxContent>
            </v:textbox>
          </v:rect>
        </w:pict>
      </w:r>
      <w:r>
        <w:rPr>
          <w:b/>
          <w:bCs/>
          <w:sz w:val="21"/>
          <w:szCs w:val="21"/>
        </w:rPr>
        <w:pict>
          <v:rect id="_x0000_s1106" o:spid="_x0000_s1106" o:spt="1" style="position:absolute;left:0pt;margin-left:182.6pt;margin-top:4.65pt;height:30.1pt;width:73.25pt;z-index:251676672;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会议室</w:t>
                  </w:r>
                </w:p>
              </w:txbxContent>
            </v:textbox>
          </v:rect>
        </w:pict>
      </w:r>
      <w:r>
        <w:rPr>
          <w:b/>
          <w:bCs/>
          <w:sz w:val="21"/>
          <w:szCs w:val="21"/>
        </w:rPr>
        <w:pict>
          <v:shape id="_x0000_s1102" o:spid="_x0000_s1102" o:spt="32" type="#_x0000_t32" style="position:absolute;left:0pt;margin-left:130.9pt;margin-top:17.9pt;height:0pt;width:51.35pt;z-index:251672576;mso-width-relative:page;mso-height-relative:page;" o:connectortype="straight" filled="f" stroked="t" coordsize="21600,21600">
            <v:path arrowok="t"/>
            <v:fill on="f" focussize="0,0"/>
            <v:stroke color="#000000" endarrow="block"/>
            <v:imagedata o:title=""/>
            <o:lock v:ext="edit"/>
          </v:shape>
        </w:pict>
      </w:r>
    </w:p>
    <w:p>
      <w:pPr>
        <w:ind w:firstLine="422"/>
        <w:rPr>
          <w:b/>
          <w:bCs/>
          <w:sz w:val="21"/>
          <w:szCs w:val="21"/>
        </w:rPr>
      </w:pPr>
    </w:p>
    <w:p>
      <w:pPr>
        <w:ind w:firstLine="422"/>
        <w:rPr>
          <w:b/>
          <w:bCs/>
          <w:sz w:val="21"/>
          <w:szCs w:val="21"/>
        </w:rPr>
      </w:pPr>
      <w:r>
        <w:rPr>
          <w:b/>
          <w:bCs/>
          <w:sz w:val="21"/>
          <w:szCs w:val="21"/>
        </w:rPr>
        <w:pict>
          <v:shape id="_x0000_s1118" o:spid="_x0000_s1118" o:spt="32" type="#_x0000_t32" style="position:absolute;left:0pt;margin-left:256.8pt;margin-top:22.8pt;height:0pt;width:51.35pt;z-index:251687936;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rect id="_x0000_s1119" o:spid="_x0000_s1119" o:spt="1" style="position:absolute;left:0pt;margin-left:290.9pt;margin-top:6.15pt;height:30.1pt;width:129.75pt;z-index:251688960;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生活垃圾、生活污水</w:t>
                  </w:r>
                </w:p>
              </w:txbxContent>
            </v:textbox>
          </v:rect>
        </w:pict>
      </w:r>
      <w:r>
        <w:rPr>
          <w:b/>
          <w:bCs/>
          <w:sz w:val="21"/>
          <w:szCs w:val="21"/>
        </w:rPr>
        <w:pict>
          <v:shape id="_x0000_s1103" o:spid="_x0000_s1103" o:spt="32" type="#_x0000_t32" style="position:absolute;left:0pt;margin-left:130.9pt;margin-top:22.45pt;height:0pt;width:51.35pt;z-index:251673600;mso-width-relative:page;mso-height-relative:page;" o:connectortype="straight" filled="f" stroked="t" coordsize="21600,21600">
            <v:path arrowok="t"/>
            <v:fill on="f" focussize="0,0"/>
            <v:stroke color="#000000" endarrow="block"/>
            <v:imagedata o:title=""/>
            <o:lock v:ext="edit"/>
          </v:shape>
        </w:pict>
      </w:r>
      <w:r>
        <w:rPr>
          <w:b/>
          <w:bCs/>
          <w:sz w:val="21"/>
          <w:szCs w:val="21"/>
        </w:rPr>
        <w:pict>
          <v:rect id="_x0000_s1107" o:spid="_x0000_s1107" o:spt="1" style="position:absolute;left:0pt;margin-left:182.25pt;margin-top:8.75pt;height:30.1pt;width:73.25pt;z-index:251677696;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宿舍楼</w:t>
                  </w:r>
                </w:p>
                <w:p>
                  <w:pPr>
                    <w:ind w:firstLine="480"/>
                  </w:pPr>
                </w:p>
              </w:txbxContent>
            </v:textbox>
          </v:rect>
        </w:pict>
      </w:r>
    </w:p>
    <w:p>
      <w:pPr>
        <w:ind w:firstLine="422"/>
        <w:rPr>
          <w:b/>
          <w:bCs/>
          <w:sz w:val="21"/>
          <w:szCs w:val="21"/>
        </w:rPr>
      </w:pPr>
      <w:r>
        <w:rPr>
          <w:b/>
          <w:bCs/>
          <w:sz w:val="21"/>
          <w:szCs w:val="21"/>
        </w:rPr>
        <w:pict>
          <v:rect id="_x0000_s1098" o:spid="_x0000_s1098" o:spt="1" style="position:absolute;left:0pt;margin-left:24.35pt;margin-top:15.05pt;height:30.05pt;width:65.75pt;z-index:251668480;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运营期</w:t>
                  </w:r>
                </w:p>
              </w:txbxContent>
            </v:textbox>
          </v:rect>
        </w:pict>
      </w:r>
    </w:p>
    <w:p>
      <w:pPr>
        <w:ind w:firstLine="422"/>
        <w:rPr>
          <w:b/>
          <w:bCs/>
          <w:sz w:val="21"/>
          <w:szCs w:val="21"/>
        </w:rPr>
      </w:pPr>
      <w:r>
        <w:rPr>
          <w:b/>
          <w:bCs/>
          <w:sz w:val="21"/>
          <w:szCs w:val="21"/>
        </w:rPr>
        <w:pict>
          <v:rect id="_x0000_s1108" o:spid="_x0000_s1108" o:spt="1" style="position:absolute;left:0pt;margin-left:181.7pt;margin-top:18.9pt;height:30.1pt;width:73.25pt;z-index:251678720;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住宿楼</w:t>
                  </w:r>
                </w:p>
              </w:txbxContent>
            </v:textbox>
          </v:rect>
        </w:pict>
      </w:r>
      <w:r>
        <w:rPr>
          <w:b/>
          <w:bCs/>
          <w:sz w:val="21"/>
          <w:szCs w:val="21"/>
        </w:rPr>
        <w:pict>
          <v:rect id="_x0000_s1121" o:spid="_x0000_s1121" o:spt="1" style="position:absolute;left:0pt;margin-left:289.8pt;margin-top:16.3pt;height:30.1pt;width:129.75pt;z-index:251691008;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生活垃圾、生活污水</w:t>
                  </w:r>
                </w:p>
              </w:txbxContent>
            </v:textbox>
          </v:rect>
        </w:pict>
      </w:r>
      <w:r>
        <w:rPr>
          <w:b/>
          <w:bCs/>
          <w:sz w:val="21"/>
          <w:szCs w:val="21"/>
        </w:rPr>
        <w:pict>
          <v:shape id="_x0000_s1099" o:spid="_x0000_s1099" o:spt="32" type="#_x0000_t32" style="position:absolute;left:0pt;margin-left:90.1pt;margin-top:5.75pt;height:0pt;width:39.6pt;z-index:251669504;mso-width-relative:page;mso-height-relative:page;" o:connectortype="straight" filled="f" stroked="t" coordsize="21600,21600">
            <v:path arrowok="t"/>
            <v:fill on="f" focussize="0,0"/>
            <v:stroke color="#000000"/>
            <v:imagedata o:title=""/>
            <o:lock v:ext="edit"/>
          </v:shape>
        </w:pict>
      </w:r>
    </w:p>
    <w:p>
      <w:pPr>
        <w:ind w:firstLine="422"/>
        <w:rPr>
          <w:b/>
          <w:bCs/>
          <w:sz w:val="21"/>
          <w:szCs w:val="21"/>
        </w:rPr>
      </w:pPr>
      <w:r>
        <w:rPr>
          <w:b/>
          <w:bCs/>
          <w:sz w:val="21"/>
          <w:szCs w:val="21"/>
        </w:rPr>
        <w:pict>
          <v:shape id="_x0000_s1120" o:spid="_x0000_s1120" o:spt="32" type="#_x0000_t32" style="position:absolute;left:0pt;margin-left:255.7pt;margin-top:8.6pt;height:0pt;width:51.35pt;z-index:251689984;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04" o:spid="_x0000_s1104" o:spt="32" type="#_x0000_t32" style="position:absolute;left:0pt;margin-left:130.9pt;margin-top:8.1pt;height:0pt;width:51.35pt;z-index:251674624;mso-width-relative:page;mso-height-relative:page;" o:connectortype="straight" filled="f" stroked="t" coordsize="21600,21600">
            <v:path arrowok="t"/>
            <v:fill on="f" focussize="0,0"/>
            <v:stroke color="#000000" endarrow="block"/>
            <v:imagedata o:title=""/>
            <o:lock v:ext="edit"/>
          </v:shape>
        </w:pict>
      </w:r>
    </w:p>
    <w:p>
      <w:pPr>
        <w:ind w:firstLine="422"/>
        <w:rPr>
          <w:b/>
          <w:bCs/>
          <w:sz w:val="21"/>
          <w:szCs w:val="21"/>
        </w:rPr>
      </w:pPr>
      <w:r>
        <w:rPr>
          <w:b/>
          <w:bCs/>
          <w:sz w:val="21"/>
          <w:szCs w:val="21"/>
        </w:rPr>
        <w:pict>
          <v:rect id="_x0000_s1123" o:spid="_x0000_s1123" o:spt="1" style="position:absolute;left:0pt;margin-left:292.2pt;margin-top:18.1pt;height:67.55pt;width:140.5pt;z-index:251693056;mso-width-relative:page;mso-height-relative:page;" filled="f" stroked="f" coordsize="21600,21600">
            <v:path/>
            <v:fill on="f" focussize="0,0"/>
            <v:stroke on="f" color="#000000"/>
            <v:imagedata o:title=""/>
            <o:lock v:ext="edit"/>
            <v:textbox>
              <w:txbxContent>
                <w:p>
                  <w:pPr>
                    <w:snapToGrid w:val="0"/>
                    <w:spacing w:line="360" w:lineRule="exact"/>
                    <w:ind w:left="240" w:hanging="240" w:hangingChars="100"/>
                  </w:pPr>
                  <w:r>
                    <w:rPr>
                      <w:rFonts w:hint="eastAsia"/>
                    </w:rPr>
                    <w:t xml:space="preserve">  食堂燃用天然气废气、食堂油烟、食堂废水、餐厨垃圾、噪声</w:t>
                  </w:r>
                </w:p>
              </w:txbxContent>
            </v:textbox>
          </v:rect>
        </w:pict>
      </w:r>
    </w:p>
    <w:p>
      <w:pPr>
        <w:ind w:firstLine="422"/>
        <w:rPr>
          <w:b/>
          <w:bCs/>
          <w:sz w:val="21"/>
          <w:szCs w:val="21"/>
        </w:rPr>
      </w:pPr>
      <w:r>
        <w:rPr>
          <w:b/>
          <w:bCs/>
          <w:sz w:val="21"/>
          <w:szCs w:val="21"/>
        </w:rPr>
        <w:pict>
          <v:shape id="_x0000_s1122" o:spid="_x0000_s1122" o:spt="32" type="#_x0000_t32" style="position:absolute;left:0pt;margin-left:256.8pt;margin-top:19.9pt;height:0pt;width:51.35pt;z-index:251692032;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09" o:spid="_x0000_s1109" o:spt="32" type="#_x0000_t32" style="position:absolute;left:0pt;margin-left:130.9pt;margin-top:20.05pt;height:0pt;width:51.35pt;z-index:251679744;mso-width-relative:page;mso-height-relative:page;" o:connectortype="straight" filled="f" stroked="t" coordsize="21600,21600">
            <v:path arrowok="t"/>
            <v:fill on="f" focussize="0,0"/>
            <v:stroke color="#000000" endarrow="block"/>
            <v:imagedata o:title=""/>
            <o:lock v:ext="edit"/>
          </v:shape>
        </w:pict>
      </w:r>
      <w:r>
        <w:rPr>
          <w:b/>
          <w:bCs/>
          <w:sz w:val="21"/>
          <w:szCs w:val="21"/>
        </w:rPr>
        <w:pict>
          <v:rect id="_x0000_s1110" o:spid="_x0000_s1110" o:spt="1" style="position:absolute;left:0pt;margin-left:181.7pt;margin-top:3.25pt;height:30.1pt;width:73.25pt;z-index:251680768;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食堂</w:t>
                  </w:r>
                </w:p>
              </w:txbxContent>
            </v:textbox>
          </v:rect>
        </w:pict>
      </w:r>
    </w:p>
    <w:p>
      <w:pPr>
        <w:ind w:firstLine="422"/>
        <w:rPr>
          <w:b/>
          <w:bCs/>
          <w:sz w:val="21"/>
          <w:szCs w:val="21"/>
        </w:rPr>
      </w:pPr>
    </w:p>
    <w:p>
      <w:pPr>
        <w:ind w:firstLine="422"/>
        <w:rPr>
          <w:b/>
          <w:bCs/>
          <w:sz w:val="21"/>
          <w:szCs w:val="21"/>
        </w:rPr>
      </w:pPr>
      <w:r>
        <w:rPr>
          <w:b/>
          <w:bCs/>
          <w:sz w:val="21"/>
          <w:szCs w:val="21"/>
        </w:rPr>
        <w:pict>
          <v:rect id="_x0000_s1125" o:spid="_x0000_s1125" o:spt="1" style="position:absolute;left:0pt;margin-left:291.1pt;margin-top:15.45pt;height:30.1pt;width:129.75pt;z-index:251695104;mso-width-relative:page;mso-height-relative:page;" filled="f" stroked="f" coordsize="21600,21600">
            <v:path/>
            <v:fill on="f" focussize="0,0"/>
            <v:stroke on="f" color="#000000"/>
            <v:imagedata o:title=""/>
            <o:lock v:ext="edit"/>
            <v:textbox>
              <w:txbxContent>
                <w:p>
                  <w:pPr>
                    <w:ind w:firstLine="0" w:firstLineChars="0"/>
                  </w:pPr>
                  <w:r>
                    <w:rPr>
                      <w:rFonts w:hint="eastAsia"/>
                    </w:rPr>
                    <w:t xml:space="preserve">  洗衣废水、噪声</w:t>
                  </w:r>
                </w:p>
              </w:txbxContent>
            </v:textbox>
          </v:rect>
        </w:pict>
      </w:r>
      <w:r>
        <w:rPr>
          <w:b/>
          <w:bCs/>
          <w:sz w:val="21"/>
          <w:szCs w:val="21"/>
        </w:rPr>
        <w:pict>
          <v:rect id="_x0000_s1112" o:spid="_x0000_s1112" o:spt="1" style="position:absolute;left:0pt;margin-left:182.25pt;margin-top:17.4pt;height:30.1pt;width:73.25pt;z-index:251682816;mso-width-relative:page;mso-height-relative:page;" filled="f" stroked="t" coordsize="21600,21600">
            <v:path/>
            <v:fill on="f" focussize="0,0"/>
            <v:stroke color="#000000"/>
            <v:imagedata o:title=""/>
            <o:lock v:ext="edit"/>
            <v:textbox>
              <w:txbxContent>
                <w:p>
                  <w:pPr>
                    <w:ind w:firstLine="0" w:firstLineChars="0"/>
                    <w:jc w:val="center"/>
                  </w:pPr>
                  <w:r>
                    <w:rPr>
                      <w:rFonts w:hint="eastAsia"/>
                    </w:rPr>
                    <w:t>洗衣房</w:t>
                  </w:r>
                </w:p>
              </w:txbxContent>
            </v:textbox>
          </v:rect>
        </w:pict>
      </w:r>
    </w:p>
    <w:p>
      <w:pPr>
        <w:ind w:firstLine="422"/>
        <w:rPr>
          <w:b/>
          <w:bCs/>
          <w:sz w:val="21"/>
          <w:szCs w:val="21"/>
        </w:rPr>
      </w:pPr>
      <w:r>
        <w:rPr>
          <w:b/>
          <w:bCs/>
          <w:sz w:val="21"/>
          <w:szCs w:val="21"/>
        </w:rPr>
        <w:pict>
          <v:shape id="_x0000_s1124" o:spid="_x0000_s1124" o:spt="32" type="#_x0000_t32" style="position:absolute;left:0pt;margin-left:255.7pt;margin-top:6.45pt;height:0pt;width:51.35pt;z-index:251694080;mso-width-relative:page;mso-height-relative:page;" o:connectortype="straight" filled="f" stroked="t" coordsize="21600,21600">
            <v:path arrowok="t"/>
            <v:fill on="f" focussize="0,0"/>
            <v:stroke color="#000000" dashstyle="dash" endarrow="block"/>
            <v:imagedata o:title=""/>
            <o:lock v:ext="edit"/>
          </v:shape>
        </w:pict>
      </w:r>
      <w:r>
        <w:rPr>
          <w:b/>
          <w:bCs/>
          <w:sz w:val="21"/>
          <w:szCs w:val="21"/>
        </w:rPr>
        <w:pict>
          <v:shape id="_x0000_s1111" o:spid="_x0000_s1111" o:spt="32" type="#_x0000_t32" style="position:absolute;left:0pt;margin-left:130.8pt;margin-top:9.2pt;height:0pt;width:51.35pt;z-index:251681792;mso-width-relative:page;mso-height-relative:page;" o:connectortype="straight" filled="f" stroked="t" coordsize="21600,21600">
            <v:path arrowok="t"/>
            <v:fill on="f" focussize="0,0"/>
            <v:stroke color="#000000" endarrow="block"/>
            <v:imagedata o:title=""/>
            <o:lock v:ext="edit"/>
          </v:shape>
        </w:pict>
      </w:r>
    </w:p>
    <w:p>
      <w:pPr>
        <w:ind w:firstLine="422"/>
        <w:rPr>
          <w:b/>
          <w:bCs/>
          <w:sz w:val="21"/>
          <w:szCs w:val="21"/>
        </w:rPr>
      </w:pPr>
    </w:p>
    <w:p>
      <w:pPr>
        <w:pStyle w:val="4"/>
        <w:ind w:firstLine="480"/>
        <w:jc w:val="center"/>
      </w:pPr>
      <w:r>
        <w:pict>
          <v:group id="组合 84" o:spid="_x0000_s1057" o:spt="203" style="position:absolute;left:0pt;margin-left:90.1pt;margin-top:524.45pt;height:168.15pt;width:415.4pt;z-index:251667456;mso-width-relative:page;mso-height-relative:page;" coordorigin="2183,489800" coordsize="830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">
            <o:lock v:ext="edit"/>
            <v:shape id="自选图形 1052" o:spid="_x0000_s1058" o:spt="32" type="#_x0000_t32" style="position:absolute;left:4600;top:490213;height:271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v:path arrowok="t"/>
              <v:fill on="f" focussize="0,0"/>
              <v:stroke weight="1.5pt"/>
              <v:imagedata o:title=""/>
              <o:lock v:ext="edit"/>
            </v:shape>
            <v:group id="组合 1076" o:spid="_x0000_s1059" o:spt="203" style="position:absolute;left:2183;top:489800;height:3363;width:8308;" coordorigin="2183,490475" coordsize="8308,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v:rect id="矩形 1050" o:spid="_x0000_s1060" o:spt="1" style="position:absolute;left:2183;top:491908;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wxMUA&#10;AADbAAAADwAAAGRycy9kb3ducmV2LnhtbESPQWsCMRSE7wX/Q3hCL0WzStFlaxQRCkIL0lXB3h7J&#10;6+7Szcs2SXX9941Q8DjMzDfMYtXbVpzJh8axgsk4A0GsnWm4UnDYv45yECEiG2wdk4IrBVgtBw8L&#10;LIy78Aedy1iJBOFQoII6xq6QMuiaLIax64iT9+W8xZikr6TxeElw28ppls2kxYbTQo0dbWrS3+Wv&#10;VfD0PLPmePq5+s/y7XTc5Xr9HrRSj8N+/QIiUh/v4f/21ijI5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vDExQAAANsAAAAPAAAAAAAAAAAAAAAAAJgCAABkcnMv&#10;ZG93bnJldi54bWxQSwUGAAAAAAQABAD1AAAAigMAAAAA&#10;">
                <v:path/>
                <v:fill on="f" focussize="0,0"/>
                <v:stroke weight="1.5pt"/>
                <v:imagedata o:title=""/>
                <o:lock v:ext="edit"/>
                <v:textbox>
                  <w:txbxContent>
                    <w:p>
                      <w:pPr>
                        <w:ind w:firstLine="480"/>
                        <w:jc w:val="center"/>
                      </w:pPr>
                      <w:r>
                        <w:rPr>
                          <w:rFonts w:hint="eastAsia"/>
                        </w:rPr>
                        <w:t>营运期</w:t>
                      </w:r>
                    </w:p>
                  </w:txbxContent>
                </v:textbox>
              </v:rect>
              <v:shape id="自选图形 1051" o:spid="_x0000_s1061" o:spt="32" type="#_x0000_t32" style="position:absolute;left:3698;top:49215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I1cAAAADbAAAADwAAAGRycy9kb3ducmV2LnhtbERPz2vCMBS+C/sfwhN206SbjFKNIoNu&#10;Hp0tnh/NW1PWvHRNqt1/vxwGO358v3eH2fXiRmPoPGvI1goEceNNx62GuipXOYgQkQ32nknDDwU4&#10;7B8WOyyMv/MH3S6xFSmEQ4EabIxDIWVoLDkMaz8QJ+7Tjw5jgmMrzYj3FO56+aTUi3TYcWqwONCr&#10;pebrMjkN1/fMzu1J2efpe1Opt3MZqC61flzOxy2ISHP8F/+5T0ZDnsamL+k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VyNXAAAAA2wAAAA8AAAAAAAAAAAAAAAAA&#10;oQIAAGRycy9kb3ducmV2LnhtbFBLBQYAAAAABAAEAPkAAACOAwAAAAA=&#10;">
                <v:path arrowok="t"/>
                <v:fill on="f" focussize="0,0"/>
                <v:stroke weight="1.5pt" endarrow="open"/>
                <v:imagedata o:title=""/>
                <o:lock v:ext="edit"/>
              </v:shape>
              <v:shape id="自选图形 1053" o:spid="_x0000_s1062" o:spt="32" type="#_x0000_t32" style="position:absolute;left:4615;top:49090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tTsIAAADbAAAADwAAAGRycy9kb3ducmV2LnhtbESPQWsCMRSE74L/IbxCb5rYFtGtUUTY&#10;1qOu4vmxed0s3bysm6jbf98IgsdhZr5hFqveNeJKXag9a5iMFQji0puaKw3HQz6agQgR2WDjmTT8&#10;UYDVcjhYYGb8jfd0LWIlEoRDhhpsjG0mZSgtOQxj3xIn78d3DmOSXSVNh7cEd418U2oqHdacFiy2&#10;tLFU/hYXp+H0PbF9tVX2/XL+OKivXR7omGv9+tKvP0FE6uMz/GhvjYbZHO5f0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ltTsIAAADbAAAADwAAAAAAAAAAAAAA&#10;AAChAgAAZHJzL2Rvd25yZXYueG1sUEsFBgAAAAAEAAQA+QAAAJADAAAAAA==&#10;">
                <v:path arrowok="t"/>
                <v:fill on="f" focussize="0,0"/>
                <v:stroke weight="1.5pt" endarrow="open"/>
                <v:imagedata o:title=""/>
                <o:lock v:ext="edit"/>
              </v:shape>
              <v:shape id="自选图形 1054" o:spid="_x0000_s1063" o:spt="32" type="#_x0000_t32" style="position:absolute;left:4615;top:493589;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Dr4AAADbAAAADwAAAGRycy9kb3ducmV2LnhtbERPy4rCMBTdC/MP4Q6400RHxOkYZRA6&#10;uvSF60tzbYrNTaeJWv/eLASXh/OeLztXixu1ofKsYTRUIIgLbyouNRwP+WAGIkRkg7Vn0vCgAMvF&#10;R2+OmfF33tFtH0uRQjhkqMHG2GRShsKSwzD0DXHizr51GBNsS2lavKdwV8uxUlPpsOLUYLGhlaXi&#10;sr86Daf1yHblRtmv6//koP62eaBjrnX/s/v9ARGpi2/xy70xGr7T+vQl/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lIOvgAAANsAAAAPAAAAAAAAAAAAAAAAAKEC&#10;AABkcnMvZG93bnJldi54bWxQSwUGAAAAAAQABAD5AAAAjAMAAAAA&#10;">
                <v:path arrowok="t"/>
                <v:fill on="f" focussize="0,0"/>
                <v:stroke weight="1.5pt" endarrow="open"/>
                <v:imagedata o:title=""/>
                <o:lock v:ext="edit"/>
              </v:shape>
              <v:rect id="矩形 1055" o:spid="_x0000_s1064" o:spt="1" style="position:absolute;left:5517;top:490641;height:500;width:166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b9sUA&#10;AADbAAAADwAAAGRycy9kb3ducmV2LnhtbESPQWsCMRSE7wX/Q3hCL0WzFpHt1igiCIUWStcKensk&#10;r7uLm5c1SXX996ZQ8DjMzDfMfNnbVpzJh8axgsk4A0GsnWm4UvC93YxyECEiG2wdk4IrBVguBg9z&#10;LIy78Bedy1iJBOFQoII6xq6QMuiaLIax64iT9+O8xZikr6TxeElw28rnLJtJiw2nhRo7Wtekj+Wv&#10;VfA0nVmz25+u/lC+73efuV59BK3U47BfvYKI1Md7+L/9ZhS8TOD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lv2xQAAANsAAAAPAAAAAAAAAAAAAAAAAJgCAABkcnMv&#10;ZG93bnJldi54bWxQSwUGAAAAAAQABAD1AAAAigMAAAAA&#10;">
                <v:path/>
                <v:fill on="f" focussize="0,0"/>
                <v:stroke weight="1.5pt"/>
                <v:imagedata o:title=""/>
                <o:lock v:ext="edit"/>
                <v:textbox>
                  <w:txbxContent>
                    <w:p>
                      <w:pPr>
                        <w:ind w:firstLine="480"/>
                        <w:jc w:val="center"/>
                      </w:pPr>
                      <w:r>
                        <w:rPr>
                          <w:rFonts w:hint="eastAsia"/>
                        </w:rPr>
                        <w:t>寺院常住人员</w:t>
                      </w:r>
                    </w:p>
                  </w:txbxContent>
                </v:textbox>
              </v:rect>
              <v:rect id="矩形 1056" o:spid="_x0000_s1065" o:spt="1" style="position:absolute;left:5517;top:4933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FgcUA&#10;AADbAAAADwAAAGRycy9kb3ducmV2LnhtbESPQWsCMRSE7wX/Q3hCL0Wzish2axQRCoUWStcKensk&#10;r7uLm5c1SXX996ZQ8DjMzDfMYtXbVpzJh8axgsk4A0GsnWm4UvC9fR3lIEJENtg6JgVXCrBaDh4W&#10;WBh34S86l7ESCcKhQAV1jF0hZdA1WQxj1xEn78d5izFJX0nj8ZLgtpXTLJtLiw2nhRo72tSkj+Wv&#10;VfA0m1uz25+u/lC+73efuV5/BK3U47Bfv4CI1Md7+L/9ZhQ8T+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MWBxQAAANsAAAAPAAAAAAAAAAAAAAAAAJgCAABkcnMv&#10;ZG93bnJldi54bWxQSwUGAAAAAAQABAD1AAAAigMAAAAA&#10;">
                <v:path/>
                <v:fill on="f" focussize="0,0"/>
                <v:stroke weight="1.5pt"/>
                <v:imagedata o:title=""/>
                <o:lock v:ext="edit"/>
                <v:textbox>
                  <w:txbxContent>
                    <w:p>
                      <w:pPr>
                        <w:ind w:firstLine="480"/>
                        <w:jc w:val="center"/>
                      </w:pPr>
                      <w:r>
                        <w:rPr>
                          <w:rFonts w:hint="eastAsia"/>
                        </w:rPr>
                        <w:t>寺庙运营</w:t>
                      </w:r>
                    </w:p>
                  </w:txbxContent>
                </v:textbox>
              </v:rect>
              <v:rect id="矩形 1058" o:spid="_x0000_s1066" o:spt="1" style="position:absolute;left:7921;top:491903;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voMMA&#10;AADbAAAADwAAAGRycy9kb3ducmV2LnhtbESPQWsCMRSE74L/ITzBm2arVO26UaQgtOJFbe/P5HWz&#10;7OZl2aS6/femUOhxmJlvmGLbu0bcqAuVZwVP0wwEsfam4lLBx2U/WYEIEdlg45kU/FCA7WY4KDA3&#10;/s4nup1jKRKEQ44KbIxtLmXQlhyGqW+Jk/flO4cxya6UpsN7grtGzrJsIR1WnBYstvRqSdfnb6fA&#10;Wb18bq/hc3+6LH39nq3C8aCVGo/63RpEpD7+h//ab0bByx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voMMAAADbAAAADwAAAAAAAAAAAAAAAACYAgAAZHJzL2Rv&#10;d25yZXYueG1sUEsFBgAAAAAEAAQA9QAAAIgDAAAAAA==&#10;">
                <v:path/>
                <v:fill on="f" focussize="0,0"/>
                <v:stroke weight="1.5pt" dashstyle="1 1" endcap="square"/>
                <v:imagedata o:title=""/>
                <o:lock v:ext="edit"/>
                <v:textbox>
                  <w:txbxContent>
                    <w:p>
                      <w:pPr>
                        <w:ind w:firstLine="480"/>
                        <w:jc w:val="center"/>
                      </w:pPr>
                      <w:r>
                        <w:rPr>
                          <w:rFonts w:hint="eastAsia"/>
                        </w:rPr>
                        <w:t>汽车尾气、停车场噪声</w:t>
                      </w:r>
                    </w:p>
                  </w:txbxContent>
                </v:textbox>
              </v:rect>
              <v:rect id="矩形 1061" o:spid="_x0000_s1067" o:spt="1" style="position:absolute;left:5498;top:4919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4bsUA&#10;AADbAAAADwAAAGRycy9kb3ducmV2LnhtbESPQWsCMRSE7wX/Q3iCl6LZioiuRhGhUGihdFXQ2yN5&#10;7i5uXrZJquu/bwoFj8PMfMMs151txJV8qB0reBllIIi1MzWXCva71+EMRIjIBhvHpOBOAdar3tMS&#10;c+Nu/EXXIpYiQTjkqKCKsc2lDLoii2HkWuLknZ23GJP0pTQebwluGznOsqm0WHNaqLClbUX6UvxY&#10;Bc+TqTWH4/fdn4r34+FzpjcfQSs16HebBYhIXXyE/9tvRsF8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fhuxQAAANsAAAAPAAAAAAAAAAAAAAAAAJgCAABkcnMv&#10;ZG93bnJldi54bWxQSwUGAAAAAAQABAD1AAAAigMAAAAA&#10;">
                <v:path/>
                <v:fill on="f" focussize="0,0"/>
                <v:stroke weight="1.5pt"/>
                <v:imagedata o:title=""/>
                <o:lock v:ext="edit"/>
                <v:textbox>
                  <w:txbxContent>
                    <w:p>
                      <w:pPr>
                        <w:ind w:firstLine="480"/>
                        <w:jc w:val="center"/>
                      </w:pPr>
                      <w:r>
                        <w:rPr>
                          <w:rFonts w:hint="eastAsia"/>
                        </w:rPr>
                        <w:t>停车场</w:t>
                      </w:r>
                    </w:p>
                  </w:txbxContent>
                </v:textbox>
              </v:rect>
              <v:rect id="矩形 1062" o:spid="_x0000_s1068" o:spt="1" style="position:absolute;left:8089;top:490475;height:813;width:2354;"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T8EA&#10;AADbAAAADwAAAGRycy9kb3ducmV2LnhtbESPS4sCMRCE78L+h9ALe9PMCr5mjbIIgitefN3bpHcy&#10;OOkMk6jjvzeC4LGoqq+o6bx1lbhSE0rPCr57GQhi7U3JhYLDftkdgwgR2WDlmRTcKcB89tGZYm78&#10;jbd03cVCJAiHHBXYGOtcyqAtOQw9XxMn7983DmOSTSFNg7cEd5XsZ9lQOiw5LVisaWFJn3cXp8BZ&#10;PRrUp3Bcbvcjf/7LxmGz1kp9fba/PyAitfEdfrVXRsFkAM8v6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k/BAAAA2wAAAA8AAAAAAAAAAAAAAAAAmAIAAGRycy9kb3du&#10;cmV2LnhtbFBLBQYAAAAABAAEAPUAAACGAwAAAAA=&#10;">
                <v:path/>
                <v:fill on="f" focussize="0,0"/>
                <v:stroke weight="1.5pt" dashstyle="1 1" endcap="square"/>
                <v:imagedata o:title=""/>
                <o:lock v:ext="edit"/>
                <v:textbox>
                  <w:txbxContent>
                    <w:p>
                      <w:pPr>
                        <w:ind w:firstLine="480"/>
                        <w:jc w:val="center"/>
                      </w:pPr>
                      <w:r>
                        <w:rPr>
                          <w:rFonts w:hint="eastAsia"/>
                        </w:rPr>
                        <w:t>生活污水、食堂废水</w:t>
                      </w:r>
                    </w:p>
                    <w:p>
                      <w:pPr>
                        <w:ind w:firstLine="480"/>
                        <w:jc w:val="center"/>
                      </w:pPr>
                      <w:r>
                        <w:rPr>
                          <w:rFonts w:hint="eastAsia"/>
                        </w:rPr>
                        <w:t>生活垃圾、食堂油烟</w:t>
                      </w:r>
                    </w:p>
                  </w:txbxContent>
                </v:textbox>
              </v:rect>
              <v:rect id="矩形 1063" o:spid="_x0000_s1069" o:spt="1" style="position:absolute;left:7943;top:493338;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OMIA&#10;AADbAAAADwAAAGRycy9kb3ducmV2LnhtbESPS4sCMRCE78L+h9ALe9PMCutj1iiLIKh48XVvk97J&#10;4KQzTKKO/94Igseiqr6iJrPWVeJKTSg9K/juZSCItTclFwoO+0V3BCJEZIOVZ1JwpwCz6Udngrnx&#10;N97SdRcLkSAcclRgY6xzKYO25DD0fE2cvH/fOIxJNoU0Dd4S3FWyn2UD6bDktGCxprklfd5dnAJn&#10;9fCnPoXjYrsf+vMqG4XNWiv19dn+/YKI1MZ3+NVeGgXjATy/pB8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4w4wgAAANsAAAAPAAAAAAAAAAAAAAAAAJgCAABkcnMvZG93&#10;bnJldi54bWxQSwUGAAAAAAQABAD1AAAAhwMAAAAA&#10;">
                <v:path/>
                <v:fill on="f" focussize="0,0"/>
                <v:stroke weight="1.5pt" dashstyle="1 1" endcap="square"/>
                <v:imagedata o:title=""/>
                <o:lock v:ext="edit"/>
                <v:textbox>
                  <w:txbxContent>
                    <w:p>
                      <w:pPr>
                        <w:ind w:firstLine="480"/>
                        <w:jc w:val="center"/>
                      </w:pPr>
                      <w:r>
                        <w:rPr>
                          <w:rFonts w:hint="eastAsia"/>
                        </w:rPr>
                        <w:t>游客生活污水、锅炉排水</w:t>
                      </w:r>
                    </w:p>
                  </w:txbxContent>
                </v:textbox>
              </v:rect>
              <v:shape id="自选图形 1064" o:spid="_x0000_s1070" o:spt="32" type="#_x0000_t32" style="position:absolute;left:7186;top:490892;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i/8QAAADbAAAADwAAAGRycy9kb3ducmV2LnhtbESPT2vCQBTE7wW/w/KE3upGD1ajq4hS&#10;LA05+A+vj91nEsy+TbOrpt++KxR6HGbmN8x82dla3Kn1lWMFw0ECglg7U3Gh4Hj4eJuA8AHZYO2Y&#10;FPyQh+Wi9zLH1LgH7+i+D4WIEPYpKihDaFIpvS7Joh+4hjh6F9daDFG2hTQtPiLc1nKUJGNpseK4&#10;UGJD65L0dX+zCrIs0dt8lJnzrdB5XeVfzWnzrdRrv1vNQATqwn/4r/1pFEzf4fk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aL/xAAAANsAAAAPAAAAAAAAAAAA&#10;AAAAAKECAABkcnMvZG93bnJldi54bWxQSwUGAAAAAAQABAD5AAAAkgMAAAAA&#10;">
                <v:path arrowok="t"/>
                <v:fill on="f" focussize="0,0"/>
                <v:stroke weight="1.5pt" dashstyle="1 1" endcap="square" endarrow="open"/>
                <v:imagedata o:title=""/>
                <o:lock v:ext="edit"/>
              </v:shape>
              <v:shape id="自选图形 1066" o:spid="_x0000_s1071" o:spt="32" type="#_x0000_t32" style="position:absolute;left:7035;top:493567;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2jcIAAADbAAAADwAAAGRycy9kb3ducmV2LnhtbERPz2vCMBS+D/Y/hDfYbU3nYbhqFHGI&#10;YulhdcPrI3lry5qX2qS1/vfmMNjx4/u9XE+2FSP1vnGs4DVJQRBrZxquFHyddi9zED4gG2wdk4Ib&#10;eVivHh+WmBl35U8ay1CJGMI+QwV1CF0mpdc1WfSJ64gj9+N6iyHCvpKmx2sMt62cpembtNhwbKix&#10;o21N+rccrII8T/W+mOXmPFS6aJvi2H1/XJR6fpo2CxCBpvAv/nMfjIL3ODZ+i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Y2jcIAAADbAAAADwAAAAAAAAAAAAAA&#10;AAChAgAAZHJzL2Rvd25yZXYueG1sUEsFBgAAAAAEAAQA+QAAAJADAAAAAA==&#10;">
                <v:path arrowok="t"/>
                <v:fill on="f" focussize="0,0"/>
                <v:stroke weight="1.5pt" dashstyle="1 1" endcap="square" endarrow="open"/>
                <v:imagedata o:title=""/>
                <o:lock v:ext="edit"/>
              </v:shape>
              <v:shape id="自选图形 1068" o:spid="_x0000_s1072" o:spt="32" type="#_x0000_t32" style="position:absolute;left:4589;top:492164;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7k8IAAADbAAAADwAAAGRycy9kb3ducmV2LnhtbESPQWsCMRSE74L/IbxCb5rYFtGtUUTY&#10;1qOu4vmxed0s3bysm6jbf98IgsdhZr5hFqveNeJKXag9a5iMFQji0puaKw3HQz6agQgR2WDjmTT8&#10;UYDVcjhYYGb8jfd0LWIlEoRDhhpsjG0mZSgtOQxj3xIn78d3DmOSXSVNh7cEd418U2oqHdacFiy2&#10;tLFU/hYXp+H0PbF9tVX2/XL+OKivXR7omGv9+tKvP0FE6uMz/GhvjYb5HO5f0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D7k8IAAADbAAAADwAAAAAAAAAAAAAA&#10;AAChAgAAZHJzL2Rvd25yZXYueG1sUEsFBgAAAAAEAAQA+QAAAJADAAAAAA==&#10;">
                <v:path arrowok="t"/>
                <v:fill on="f" focussize="0,0"/>
                <v:stroke weight="1.5pt" endarrow="open"/>
                <v:imagedata o:title=""/>
                <o:lock v:ext="edit"/>
              </v:shape>
              <v:shape id="自选图形 1073" o:spid="_x0000_s1073" o:spt="32" type="#_x0000_t32" style="position:absolute;left:7011;top:492166;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pu8UAAADcAAAADwAAAGRycy9kb3ducmV2LnhtbESPQWvDMAyF74P9B6NBb6u9HsrI6pay&#10;MVYacli30auw1SQ0lrPYbdN/Xx0Gu0m8p/c+LVZj6NSZhtRGtvA0NaCIXfQt1xa+v94fn0GljOyx&#10;i0wWrpRgtby/W2Dh44U/6bzLtZIQTgVaaHLuC62TayhgmsaeWLRDHAJmWYda+wEvEh46PTNmrgO2&#10;LA0N9vTakDvuTsFCWRr3Uc1Kvz/Vruraatv/vP1aO3kY1y+gMo353/x3vfGCbwRfnpEJ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Lpu8UAAADcAAAADwAAAAAAAAAA&#10;AAAAAAChAgAAZHJzL2Rvd25yZXYueG1sUEsFBgAAAAAEAAQA+QAAAJMDAAAAAA==&#10;">
                <v:path arrowok="t"/>
                <v:fill on="f" focussize="0,0"/>
                <v:stroke weight="1.5pt" dashstyle="1 1" endcap="square" endarrow="open"/>
                <v:imagedata o:title=""/>
                <o:lock v:ext="edit"/>
              </v:shape>
            </v:group>
          </v:group>
        </w:pict>
      </w:r>
      <w:r>
        <w:pict>
          <v:group id="组合 67" o:spid="_x0000_s1074" o:spt="203" style="position:absolute;left:0pt;margin-left:90.1pt;margin-top:524.45pt;height:168.15pt;width:415.4pt;z-index:251666432;mso-width-relative:page;mso-height-relative:page;" coordorigin="2183,489800" coordsize="830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">
            <o:lock v:ext="edit"/>
            <v:shape id="自选图形 1052" o:spid="_x0000_s1075" o:spt="32" type="#_x0000_t32" style="position:absolute;left:4600;top:490213;height:271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v:path arrowok="t"/>
              <v:fill on="f" focussize="0,0"/>
              <v:stroke weight="1.5pt"/>
              <v:imagedata o:title=""/>
              <o:lock v:ext="edit"/>
            </v:shape>
            <v:group id="组合 1076" o:spid="_x0000_s1076" o:spt="203" style="position:absolute;left:2183;top:489800;height:3363;width:8308;" coordorigin="2183,490475" coordsize="8308,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v:rect id="矩形 1050" o:spid="_x0000_s1077" o:spt="1" style="position:absolute;left:2183;top:491908;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Yl8IA&#10;AADbAAAADwAAAGRycy9kb3ducmV2LnhtbERPXWvCMBR9F/Yfwh34IppOhpPaVGQwGGwwrBP07ZJc&#10;27Lmpksyrf9+eRB8PJzvYj3YTpzJh9axgqdZBoJYO9NyreB79zZdgggR2WDnmBRcKcC6fBgVmBt3&#10;4S2dq1iLFMIhRwVNjH0uZdANWQwz1xMn7uS8xZigr6XxeEnhtpPzLFtIiy2nhgZ7em1I/1R/VsHk&#10;eWHN/vB79cfq47D/WurNZ9BKjR+HzQpEpCHexTf3u1HwktanL+kH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iXwgAAANsAAAAPAAAAAAAAAAAAAAAAAJgCAABkcnMvZG93&#10;bnJldi54bWxQSwUGAAAAAAQABAD1AAAAhwMAAAAA&#10;">
                <v:path/>
                <v:fill on="f" focussize="0,0"/>
                <v:stroke weight="1.5pt"/>
                <v:imagedata o:title=""/>
                <o:lock v:ext="edit"/>
                <v:textbox>
                  <w:txbxContent>
                    <w:p>
                      <w:pPr>
                        <w:ind w:firstLine="480"/>
                        <w:jc w:val="center"/>
                      </w:pPr>
                      <w:r>
                        <w:rPr>
                          <w:rFonts w:hint="eastAsia"/>
                        </w:rPr>
                        <w:t>营运期</w:t>
                      </w:r>
                    </w:p>
                  </w:txbxContent>
                </v:textbox>
              </v:rect>
              <v:shape id="自选图形 1051" o:spid="_x0000_s1078" o:spt="32" type="#_x0000_t32" style="position:absolute;left:3698;top:49215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Rb8IAAADbAAAADwAAAGRycy9kb3ducmV2LnhtbESPQWsCMRSE7wX/Q3hCbzXZtlRZjSLC&#10;th6tiufH5rlZ3Lysm6jbf98IgsdhZr5hZoveNeJKXag9a8hGCgRx6U3NlYb9rnibgAgR2WDjmTT8&#10;UYDFfPAyw9z4G//SdRsrkSAcctRgY2xzKUNpyWEY+ZY4eUffOYxJdpU0Hd4S3DXyXakv6bDmtGCx&#10;pZWl8rS9OA2Hn8z21VrZj8v5c6e+N0WgfaH167BfTkFE6uMz/GivjYZxBvcv6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oRb8IAAADbAAAADwAAAAAAAAAAAAAA&#10;AAChAgAAZHJzL2Rvd25yZXYueG1sUEsFBgAAAAAEAAQA+QAAAJADAAAAAA==&#10;">
                <v:path arrowok="t"/>
                <v:fill on="f" focussize="0,0"/>
                <v:stroke weight="1.5pt" endarrow="open"/>
                <v:imagedata o:title=""/>
                <o:lock v:ext="edit"/>
              </v:shape>
              <v:shape id="自选图形 1053" o:spid="_x0000_s1079" o:spt="32" type="#_x0000_t32" style="position:absolute;left:4615;top:490905;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PGMIAAADbAAAADwAAAGRycy9kb3ducmV2LnhtbESPQWsCMRSE74X+h/AKvdVEK1VWoxRh&#10;rUe7iufH5rlZ3LxsN1G3/94IgsdhZr5h5sveNeJCXag9axgOFAji0puaKw37Xf4xBREissHGM2n4&#10;pwDLxevLHDPjr/xLlyJWIkE4ZKjBxthmUobSksMw8C1x8o6+cxiT7CppOrwmuGvkSKkv6bDmtGCx&#10;pZWl8lScnYbDz9D21UbZz/PfeKfW2zzQPtf6/a3/noGI1Mdn+NHeGA2T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iPGMIAAADbAAAADwAAAAAAAAAAAAAA&#10;AAChAgAAZHJzL2Rvd25yZXYueG1sUEsFBgAAAAAEAAQA+QAAAJADAAAAAA==&#10;">
                <v:path arrowok="t"/>
                <v:fill on="f" focussize="0,0"/>
                <v:stroke weight="1.5pt" endarrow="open"/>
                <v:imagedata o:title=""/>
                <o:lock v:ext="edit"/>
              </v:shape>
              <v:shape id="自选图形 1054" o:spid="_x0000_s1080" o:spt="32" type="#_x0000_t32" style="position:absolute;left:4615;top:493589;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Qqg8IAAADbAAAADwAAAGRycy9kb3ducmV2LnhtbESPQWsCMRSE74X+h/AKvdXEKlVWo5TC&#10;Vo92Fc+PzXOzuHnZbqKu/94IgsdhZr5h5sveNeJMXag9axgOFAji0puaKw27bf4xBREissHGM2m4&#10;UoDl4vVljpnxF/6jcxErkSAcMtRgY2wzKUNpyWEY+JY4eQffOYxJdpU0HV4S3DXyU6kv6bDmtGCx&#10;pR9L5bE4OQ371dD21VrZ0el/vFW/mzzQLtf6/a3/noGI1Mdn+NFeGw2T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Qqg8IAAADbAAAADwAAAAAAAAAAAAAA&#10;AAChAgAAZHJzL2Rvd25yZXYueG1sUEsFBgAAAAAEAAQA+QAAAJADAAAAAA==&#10;">
                <v:path arrowok="t"/>
                <v:fill on="f" focussize="0,0"/>
                <v:stroke weight="1.5pt" endarrow="open"/>
                <v:imagedata o:title=""/>
                <o:lock v:ext="edit"/>
              </v:shape>
              <v:rect id="矩形 1055" o:spid="_x0000_s1081" o:spt="1" style="position:absolute;left:5517;top:490641;height:500;width:166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lMUA&#10;AADbAAAADwAAAGRycy9kb3ducmV2LnhtbESPQWsCMRSE7wX/Q3hCL6VmLWKX1SgiFAoVitsK9vZI&#10;nruLm5c1SXX996Yg9DjMzDfMfNnbVpzJh8axgvEoA0GsnWm4UvD99facgwgR2WDrmBRcKcByMXiY&#10;Y2Hchbd0LmMlEoRDgQrqGLtCyqBrshhGriNO3sF5izFJX0nj8ZLgtpUvWTaVFhtOCzV2tK5JH8tf&#10;q+BpMrVmtz9d/U/5sd995nq1CVqpx2G/moGI1Mf/8L39bhS8TuD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6UxQAAANsAAAAPAAAAAAAAAAAAAAAAAJgCAABkcnMv&#10;ZG93bnJldi54bWxQSwUGAAAAAAQABAD1AAAAigMAAAAA&#10;">
                <v:path/>
                <v:fill on="f" focussize="0,0"/>
                <v:stroke weight="1.5pt"/>
                <v:imagedata o:title=""/>
                <o:lock v:ext="edit"/>
                <v:textbox>
                  <w:txbxContent>
                    <w:p>
                      <w:pPr>
                        <w:ind w:firstLine="480"/>
                        <w:jc w:val="center"/>
                      </w:pPr>
                      <w:r>
                        <w:rPr>
                          <w:rFonts w:hint="eastAsia"/>
                        </w:rPr>
                        <w:t>寺院常住人员</w:t>
                      </w:r>
                    </w:p>
                  </w:txbxContent>
                </v:textbox>
              </v:rect>
              <v:rect id="矩形 1056" o:spid="_x0000_s1082" o:spt="1" style="position:absolute;left:5517;top:4933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7D8UA&#10;AADbAAAADwAAAGRycy9kb3ducmV2LnhtbESPQWsCMRSE74L/ITzBi2i20qpsjSKFQqFCcVWwt0fy&#10;urt087JNUl3/vSkUPA4z8w2zXHe2EWfyoXas4GGSgSDWztRcKjjsX8cLECEiG2wck4IrBViv+r0l&#10;5sZdeEfnIpYiQTjkqKCKsc2lDLoii2HiWuLkfTlvMSbpS2k8XhLcNnKaZTNpsea0UGFLLxXp7+LX&#10;Khg9zqw5nn6u/rN4Px0/FnqzDVqp4aDbPIOI1MV7+L/9ZhTMn+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bsPxQAAANsAAAAPAAAAAAAAAAAAAAAAAJgCAABkcnMv&#10;ZG93bnJldi54bWxQSwUGAAAAAAQABAD1AAAAigMAAAAA&#10;">
                <v:path/>
                <v:fill on="f" focussize="0,0"/>
                <v:stroke weight="1.5pt"/>
                <v:imagedata o:title=""/>
                <o:lock v:ext="edit"/>
                <v:textbox>
                  <w:txbxContent>
                    <w:p>
                      <w:pPr>
                        <w:ind w:firstLine="480"/>
                        <w:jc w:val="center"/>
                      </w:pPr>
                      <w:r>
                        <w:rPr>
                          <w:rFonts w:hint="eastAsia"/>
                        </w:rPr>
                        <w:t>寺庙运营</w:t>
                      </w:r>
                    </w:p>
                  </w:txbxContent>
                </v:textbox>
              </v:rect>
              <v:rect id="矩形 1058" o:spid="_x0000_s1083" o:spt="1" style="position:absolute;left:7921;top:491903;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qwsMA&#10;AADbAAAADwAAAGRycy9kb3ducmV2LnhtbESPzWrDMBCE74W8g9hAb43cQOzgRjElYGhKL87PfSNt&#10;LRNrZSw1cd++KhR6HGbmG2ZTTa4XNxpD51nB8yIDQay96bhVcDrWT2sQISIb7D2Tgm8KUG1nDxss&#10;jb9zQ7dDbEWCcChRgY1xKKUM2pLDsPADcfI+/egwJjm20ox4T3DXy2WW5dJhx2nB4kA7S/p6+HIK&#10;nNXFariEc90cC3/dZ+vw8a6VepxPry8gIk3xP/zXfjMKih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NqwsMAAADbAAAADwAAAAAAAAAAAAAAAACYAgAAZHJzL2Rv&#10;d25yZXYueG1sUEsFBgAAAAAEAAQA9QAAAIgDAAAAAA==&#10;">
                <v:path/>
                <v:fill on="f" focussize="0,0"/>
                <v:stroke weight="1.5pt" dashstyle="1 1" endcap="square"/>
                <v:imagedata o:title=""/>
                <o:lock v:ext="edit"/>
                <v:textbox>
                  <w:txbxContent>
                    <w:p>
                      <w:pPr>
                        <w:ind w:firstLine="480"/>
                        <w:jc w:val="center"/>
                      </w:pPr>
                      <w:r>
                        <w:rPr>
                          <w:rFonts w:hint="eastAsia"/>
                        </w:rPr>
                        <w:t>汽车尾气、停车场噪声</w:t>
                      </w:r>
                    </w:p>
                  </w:txbxContent>
                </v:textbox>
              </v:rect>
              <v:rect id="矩形 1061" o:spid="_x0000_s1084" o:spt="1" style="position:absolute;left:5498;top:491925;height:500;width:1515;"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A48UA&#10;AADbAAAADwAAAGRycy9kb3ducmV2LnhtbESPQWsCMRSE7wX/Q3hCL0WzSlFZjSJCQWhBulXQ2yN5&#10;7i5uXrZJquu/b4RCj8PMfMMsVp1txJV8qB0rGA0zEMTamZpLBfuvt8EMRIjIBhvHpOBOAVbL3tMC&#10;c+Nu/EnXIpYiQTjkqKCKsc2lDLoii2HoWuLknZ23GJP0pTQebwluGznOsom0WHNaqLClTUX6UvxY&#10;BS+vE2sOx++7PxXvx8NuptcfQSv13O/WcxCRuvgf/mtvjYLpF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4DjxQAAANsAAAAPAAAAAAAAAAAAAAAAAJgCAABkcnMv&#10;ZG93bnJldi54bWxQSwUGAAAAAAQABAD1AAAAigMAAAAA&#10;">
                <v:path/>
                <v:fill on="f" focussize="0,0"/>
                <v:stroke weight="1.5pt"/>
                <v:imagedata o:title=""/>
                <o:lock v:ext="edit"/>
                <v:textbox>
                  <w:txbxContent>
                    <w:p>
                      <w:pPr>
                        <w:ind w:firstLine="480"/>
                        <w:jc w:val="center"/>
                      </w:pPr>
                      <w:r>
                        <w:rPr>
                          <w:rFonts w:hint="eastAsia"/>
                        </w:rPr>
                        <w:t>停车场</w:t>
                      </w:r>
                    </w:p>
                  </w:txbxContent>
                </v:textbox>
              </v:rect>
              <v:rect id="矩形 1062" o:spid="_x0000_s1085" o:spt="1" style="position:absolute;left:8089;top:490475;height:813;width:2354;"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K74A&#10;AADbAAAADwAAAGRycy9kb3ducmV2LnhtbERPy4rCMBTdC/5DuMLsNFVwKtUoIgijzMbX/ppcm2Jz&#10;U5qMdv7eLASXh/NerDpXiwe1ofKsYDzKQBBrbyouFZxP2+EMRIjIBmvPpOCfAqyW/d4CC+OffKDH&#10;MZYihXAoUIGNsSmkDNqSwzDyDXHibr51GBNsS2lafKZwV8tJln1LhxWnBosNbSzp+/HPKXBW59Pm&#10;Gi7bwyn39102C797rdTXoFvPQUTq4kf8dv8YBXkam76kHy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QWyu+AAAA2wAAAA8AAAAAAAAAAAAAAAAAmAIAAGRycy9kb3ducmV2&#10;LnhtbFBLBQYAAAAABAAEAPUAAACDAwAAAAA=&#10;">
                <v:path/>
                <v:fill on="f" focussize="0,0"/>
                <v:stroke weight="1.5pt" dashstyle="1 1" endcap="square"/>
                <v:imagedata o:title=""/>
                <o:lock v:ext="edit"/>
                <v:textbox>
                  <w:txbxContent>
                    <w:p>
                      <w:pPr>
                        <w:ind w:firstLine="480"/>
                        <w:jc w:val="center"/>
                      </w:pPr>
                      <w:r>
                        <w:rPr>
                          <w:rFonts w:hint="eastAsia"/>
                        </w:rPr>
                        <w:t>生活污水、食堂废水</w:t>
                      </w:r>
                    </w:p>
                    <w:p>
                      <w:pPr>
                        <w:ind w:firstLine="480"/>
                        <w:jc w:val="center"/>
                      </w:pPr>
                      <w:r>
                        <w:rPr>
                          <w:rFonts w:hint="eastAsia"/>
                        </w:rPr>
                        <w:t>生活垃圾、食堂油烟</w:t>
                      </w:r>
                    </w:p>
                  </w:txbxContent>
                </v:textbox>
              </v:rect>
              <v:rect id="矩形 1063" o:spid="_x0000_s1086" o:spt="1" style="position:absolute;left:7943;top:493338;height:500;width:2549;"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sMMA&#10;AADbAAAADwAAAGRycy9kb3ducmV2LnhtbESPQWvCQBSE74X+h+UVvNVNBY1N3UgpCCq9GO39dfc1&#10;G5J9G7Krpv++WxA8DjPzDbNaj64TFxpC41nByzQDQay9abhWcDpunpcgQkQ22HkmBb8UYF0+Pqyw&#10;MP7KB7pUsRYJwqFABTbGvpAyaEsOw9T3xMn78YPDmORQSzPgNcFdJ2dZtpAOG04LFnv6sKTb6uwU&#10;OKvzef8dvjaHY+7bXbYMn3ut1ORpfH8DEWmM9/CtvTUK8lf4/5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sMMAAADbAAAADwAAAAAAAAAAAAAAAACYAgAAZHJzL2Rv&#10;d25yZXYueG1sUEsFBgAAAAAEAAQA9QAAAIgDAAAAAA==&#10;">
                <v:path/>
                <v:fill on="f" focussize="0,0"/>
                <v:stroke weight="1.5pt" dashstyle="1 1" endcap="square"/>
                <v:imagedata o:title=""/>
                <o:lock v:ext="edit"/>
                <v:textbox>
                  <w:txbxContent>
                    <w:p>
                      <w:pPr>
                        <w:ind w:firstLine="480"/>
                        <w:jc w:val="center"/>
                      </w:pPr>
                      <w:r>
                        <w:rPr>
                          <w:rFonts w:hint="eastAsia"/>
                        </w:rPr>
                        <w:t>游客生活污水、锅炉排水</w:t>
                      </w:r>
                    </w:p>
                  </w:txbxContent>
                </v:textbox>
              </v:rect>
              <v:shape id="自选图形 1064" o:spid="_x0000_s1087" o:spt="32" type="#_x0000_t32" style="position:absolute;left:7186;top:490892;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sVsAAAADbAAAADwAAAGRycy9kb3ducmV2LnhtbERPy4rCMBTdC/5DuII7TXUhUo0yKKJY&#10;uvAxzPaS3GmLzU1tota/nywGXB7Oe7nubC2e1PrKsYLJOAFBrJ2puFBwvexGcxA+IBusHZOCN3lY&#10;r/q9JabGvfhEz3MoRAxhn6KCMoQmldLrkiz6sWuII/frWoshwraQpsVXDLe1nCbJTFqsODaU2NCm&#10;JH07P6yCLEv0Pp9m5udR6Lyu8mPzvb0rNRx0XwsQgbrwEf+7D0bBPK6P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ZrFbAAAAA2wAAAA8AAAAAAAAAAAAAAAAA&#10;oQIAAGRycy9kb3ducmV2LnhtbFBLBQYAAAAABAAEAPkAAACOAwAAAAA=&#10;">
                <v:path arrowok="t"/>
                <v:fill on="f" focussize="0,0"/>
                <v:stroke weight="1.5pt" dashstyle="1 1" endcap="square" endarrow="open"/>
                <v:imagedata o:title=""/>
                <o:lock v:ext="edit"/>
              </v:shape>
              <v:shape id="自选图形 1066" o:spid="_x0000_s1088" o:spt="32" type="#_x0000_t32" style="position:absolute;left:7035;top:493567;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JzcUAAADbAAAADwAAAGRycy9kb3ducmV2LnhtbESPzWrDMBCE74W8g9hAb7WcHIpxrITQ&#10;EFpqfGh+yHWRNraptXItJXbfvioUehxm5hum2Ey2E3cafOtYwSJJQRBrZ1quFZyO+6cMhA/IBjvH&#10;pOCbPGzWs4cCc+NG/qD7IdQiQtjnqKAJoc+l9Lohiz5xPXH0rm6wGKIcamkGHCPcdnKZps/SYstx&#10;ocGeXhrSn4ebVVCWqX6tlqW53GpddW313p93X0o9zqftCkSgKfyH/9pvRkG2gN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JzcUAAADbAAAADwAAAAAAAAAA&#10;AAAAAAChAgAAZHJzL2Rvd25yZXYueG1sUEsFBgAAAAAEAAQA+QAAAJMDAAAAAA==&#10;">
                <v:path arrowok="t"/>
                <v:fill on="f" focussize="0,0"/>
                <v:stroke weight="1.5pt" dashstyle="1 1" endcap="square" endarrow="open"/>
                <v:imagedata o:title=""/>
                <o:lock v:ext="edit"/>
              </v:shape>
              <v:shape id="自选图形 1068" o:spid="_x0000_s1089" o:spt="32" type="#_x0000_t32" style="position:absolute;left:4589;top:492164;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P8EAAADbAAAADwAAAGRycy9kb3ducmV2LnhtbESPT4vCMBTE78J+h/CEvWmiKyLVKCLU&#10;9bj+wfOjeTbF5qXbRO1++40geBxm5jfMYtW5WtypDZVnDaOhAkFceFNxqeF0zAczECEiG6w9k4Y/&#10;CrBafvQWmBn/4D3dD7EUCcIhQw02xiaTMhSWHIahb4iTd/Gtw5hkW0rT4iPBXS3HSk2lw4rTgsWG&#10;NpaK6+HmNJy/R7Yrd8p+3X4nR7X9yQOdcq0/+916DiJSF9/hV3tnNMzG8PySf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vf8/wQAAANsAAAAPAAAAAAAAAAAAAAAA&#10;AKECAABkcnMvZG93bnJldi54bWxQSwUGAAAAAAQABAD5AAAAjwMAAAAA&#10;">
                <v:path arrowok="t"/>
                <v:fill on="f" focussize="0,0"/>
                <v:stroke weight="1.5pt" endarrow="open"/>
                <v:imagedata o:title=""/>
                <o:lock v:ext="edit"/>
              </v:shape>
              <v:shape id="自选图形 1073" o:spid="_x0000_s1090" o:spt="32" type="#_x0000_t32" style="position:absolute;left:7011;top:492166;flip:y;height:3;width:90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IcQAAADbAAAADwAAAGRycy9kb3ducmV2LnhtbESPT2vCQBTE74V+h+UVeqsbUygSXYNY&#10;xNKQg//w+th9JsHs2zS7avrtuwXB4zAzv2Fm+WBbcaXeN44VjEcJCGLtTMOVgv1u9TYB4QOywdYx&#10;KfglD/n8+WmGmXE33tB1GyoRIewzVFCH0GVSel2TRT9yHXH0Tq63GKLsK2l6vEW4bWWaJB/SYsNx&#10;ocaOljXp8/ZiFRRFotdlWpjjpdJl25Tf3eHzR6nXl2ExBRFoCI/wvf1lFEze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zIhxAAAANsAAAAPAAAAAAAAAAAA&#10;AAAAAKECAABkcnMvZG93bnJldi54bWxQSwUGAAAAAAQABAD5AAAAkgMAAAAA&#10;">
                <v:path arrowok="t"/>
                <v:fill on="f" focussize="0,0"/>
                <v:stroke weight="1.5pt" dashstyle="1 1" endcap="square" endarrow="open"/>
                <v:imagedata o:title=""/>
                <o:lock v:ext="edit"/>
              </v:shape>
            </v:group>
          </v:group>
        </w:pict>
      </w:r>
      <w:r>
        <w:rPr>
          <w:rFonts w:hint="eastAsia" w:ascii="宋体" w:hAnsi="宋体" w:cs="宋体"/>
          <w:b/>
          <w:bCs/>
          <w:sz w:val="21"/>
          <w:szCs w:val="21"/>
        </w:rPr>
        <w:t>图2  项目运营期流程及产排污环节图</w:t>
      </w:r>
    </w:p>
    <w:p>
      <w:pPr>
        <w:pStyle w:val="4"/>
        <w:ind w:firstLine="480"/>
      </w:pPr>
    </w:p>
    <w:p>
      <w:pPr>
        <w:pStyle w:val="4"/>
        <w:ind w:firstLineChars="175"/>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tabs>
          <w:tab w:val="left" w:pos="2660"/>
        </w:tabs>
        <w:snapToGrid w:val="0"/>
        <w:spacing w:line="520" w:lineRule="exact"/>
        <w:ind w:firstLine="0" w:firstLineChars="0"/>
        <w:rPr>
          <w:b/>
        </w:rPr>
      </w:pPr>
      <w:r>
        <w:rPr>
          <w:b/>
        </w:rPr>
        <w:t>运营期主要污染工序：</w:t>
      </w:r>
    </w:p>
    <w:p>
      <w:pPr>
        <w:spacing w:line="560" w:lineRule="exact"/>
        <w:ind w:firstLine="480"/>
        <w:rPr>
          <w:rFonts w:hAnsi="宋体"/>
        </w:rPr>
      </w:pPr>
      <w:r>
        <w:rPr>
          <w:rFonts w:hint="eastAsia" w:hAnsi="宋体"/>
        </w:rPr>
        <w:t>（1）废气</w:t>
      </w:r>
    </w:p>
    <w:p>
      <w:pPr>
        <w:spacing w:beforeLines="50" w:line="480" w:lineRule="exact"/>
        <w:ind w:firstLine="480"/>
        <w:rPr>
          <w:rFonts w:hAnsi="宋体"/>
        </w:rPr>
      </w:pPr>
      <w:r>
        <w:rPr>
          <w:rFonts w:hint="eastAsia"/>
        </w:rPr>
        <w:t>废气主要来自食堂燃用天然气燃烧废气、食堂油烟。</w:t>
      </w:r>
    </w:p>
    <w:p>
      <w:pPr>
        <w:spacing w:line="560" w:lineRule="exact"/>
        <w:ind w:firstLine="480"/>
      </w:pPr>
      <w:r>
        <w:rPr>
          <w:rFonts w:hint="eastAsia" w:hAnsi="宋体"/>
        </w:rPr>
        <w:t>（2）</w:t>
      </w:r>
      <w:r>
        <w:rPr>
          <w:rFonts w:hAnsi="宋体"/>
        </w:rPr>
        <w:t>水</w:t>
      </w:r>
      <w:r>
        <w:rPr>
          <w:rFonts w:hint="eastAsia" w:hAnsi="宋体"/>
        </w:rPr>
        <w:t>污染物</w:t>
      </w:r>
    </w:p>
    <w:p>
      <w:pPr>
        <w:ind w:firstLine="480"/>
      </w:pPr>
      <w:r>
        <w:rPr>
          <w:rFonts w:hint="eastAsia"/>
        </w:rPr>
        <w:t>本项目污水主要为人员生活污水、食堂废水、洗衣废水，废水中污染物主要为COD、BOD</w:t>
      </w:r>
      <w:r>
        <w:rPr>
          <w:rFonts w:hint="eastAsia"/>
          <w:vertAlign w:val="subscript"/>
        </w:rPr>
        <w:t>5</w:t>
      </w:r>
      <w:r>
        <w:rPr>
          <w:rFonts w:hint="eastAsia"/>
        </w:rPr>
        <w:t>、SS、NH</w:t>
      </w:r>
      <w:r>
        <w:rPr>
          <w:rFonts w:hint="eastAsia"/>
          <w:vertAlign w:val="subscript"/>
        </w:rPr>
        <w:t>3</w:t>
      </w:r>
      <w:r>
        <w:rPr>
          <w:rFonts w:hint="eastAsia"/>
        </w:rPr>
        <w:t>-N等。</w:t>
      </w:r>
    </w:p>
    <w:p>
      <w:pPr>
        <w:spacing w:line="560" w:lineRule="exact"/>
        <w:ind w:firstLine="480"/>
      </w:pPr>
      <w:r>
        <w:rPr>
          <w:rFonts w:hint="eastAsia" w:hAnsi="宋体"/>
        </w:rPr>
        <w:t>（3）</w:t>
      </w:r>
      <w:r>
        <w:rPr>
          <w:rFonts w:hAnsi="宋体"/>
        </w:rPr>
        <w:t>固体废物</w:t>
      </w:r>
    </w:p>
    <w:p>
      <w:pPr>
        <w:ind w:firstLine="480"/>
      </w:pPr>
      <w:r>
        <w:rPr>
          <w:rFonts w:hint="eastAsia"/>
        </w:rPr>
        <w:t>项目运营期固体废物主要是日常生活垃圾、餐厨垃圾（餐余垃圾、隔油池油泥）等。</w:t>
      </w:r>
    </w:p>
    <w:p>
      <w:pPr>
        <w:spacing w:line="560" w:lineRule="exact"/>
        <w:ind w:firstLine="480"/>
        <w:rPr>
          <w:rFonts w:hAnsi="宋体"/>
        </w:rPr>
      </w:pPr>
      <w:r>
        <w:rPr>
          <w:rFonts w:hint="eastAsia" w:hAnsi="宋体"/>
        </w:rPr>
        <w:t>（4）噪声</w:t>
      </w:r>
    </w:p>
    <w:p>
      <w:pPr>
        <w:spacing w:line="560" w:lineRule="exact"/>
        <w:ind w:firstLine="480"/>
        <w:rPr>
          <w:rFonts w:hAnsi="宋体"/>
        </w:rPr>
      </w:pPr>
      <w:r>
        <w:rPr>
          <w:rFonts w:hint="eastAsia" w:hAnsi="宋体"/>
        </w:rPr>
        <w:t>本项目噪声主要来自于食堂油烟风机、洗衣设备、泵类等。</w:t>
      </w:r>
    </w:p>
    <w:p>
      <w:pPr>
        <w:pStyle w:val="41"/>
        <w:ind w:firstLine="560"/>
        <w:rPr>
          <w:rFonts w:ascii="黑体" w:eastAsia="黑体"/>
          <w:sz w:val="28"/>
          <w:szCs w:val="28"/>
        </w:rPr>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tbl>
      <w:tblPr>
        <w:tblStyle w:val="49"/>
        <w:tblW w:w="8720" w:type="dxa"/>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18"/>
        <w:gridCol w:w="1280"/>
        <w:gridCol w:w="1506"/>
        <w:gridCol w:w="1264"/>
        <w:gridCol w:w="1338"/>
        <w:gridCol w:w="1273"/>
        <w:gridCol w:w="124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pict>
                <v:shape id="Text Box 2349" o:spid="_x0000_s1128" o:spt="202" type="#_x0000_t202" style="position:absolute;left:0pt;margin-left:-3.6pt;margin-top:-35.7pt;height:33.8pt;width:295.5pt;z-index:2516971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">
                  <v:path/>
                  <v:fill on="f" focussize="0,0"/>
                  <v:stroke on="f" color="#FFFFFF" joinstyle="miter"/>
                  <v:imagedata o:title=""/>
                  <o:lock v:ext="edit"/>
                  <v:textbox>
                    <w:txbxContent>
                      <w:p>
                        <w:pPr>
                          <w:ind w:firstLine="0" w:firstLineChars="0"/>
                          <w:rPr>
                            <w:rFonts w:ascii="黑体" w:eastAsia="黑体"/>
                            <w:b/>
                            <w:bCs/>
                            <w:sz w:val="30"/>
                          </w:rPr>
                        </w:pPr>
                        <w:r>
                          <w:rPr>
                            <w:rFonts w:hint="eastAsia" w:ascii="黑体" w:eastAsia="黑体"/>
                            <w:b/>
                            <w:bCs/>
                            <w:sz w:val="30"/>
                          </w:rPr>
                          <w:t>项目主要污染物产生及预计排放情况</w:t>
                        </w:r>
                      </w:p>
                      <w:p>
                        <w:pPr>
                          <w:ind w:firstLine="480"/>
                        </w:pPr>
                      </w:p>
                    </w:txbxContent>
                  </v:textbox>
                </v:shape>
              </w:pict>
            </w:r>
            <w:r>
              <w:rPr>
                <w:rFonts w:hAnsiTheme="minorEastAsia" w:eastAsiaTheme="minorEastAsia"/>
                <w:sz w:val="21"/>
                <w:szCs w:val="21"/>
              </w:rPr>
              <w:t>内容</w:t>
            </w:r>
          </w:p>
          <w:p>
            <w:pPr>
              <w:snapToGrid w:val="0"/>
              <w:spacing w:line="240" w:lineRule="atLeast"/>
              <w:ind w:firstLine="0" w:firstLineChars="0"/>
              <w:jc w:val="center"/>
              <w:rPr>
                <w:rFonts w:eastAsiaTheme="minorEastAsia"/>
                <w:sz w:val="21"/>
                <w:szCs w:val="21"/>
              </w:rPr>
            </w:pP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类型</w:t>
            </w:r>
          </w:p>
        </w:tc>
        <w:tc>
          <w:tcPr>
            <w:tcW w:w="1280" w:type="dxa"/>
            <w:vMerge w:val="restart"/>
            <w:vAlign w:val="center"/>
          </w:tcPr>
          <w:p>
            <w:pPr>
              <w:pStyle w:val="19"/>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排放源</w:t>
            </w:r>
          </w:p>
          <w:p>
            <w:pPr>
              <w:pStyle w:val="19"/>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（编号）</w:t>
            </w:r>
          </w:p>
        </w:tc>
        <w:tc>
          <w:tcPr>
            <w:tcW w:w="1506"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污染物</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名称</w:t>
            </w:r>
          </w:p>
        </w:tc>
        <w:tc>
          <w:tcPr>
            <w:tcW w:w="2602" w:type="dxa"/>
            <w:gridSpan w:val="2"/>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处理前产生浓度及</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产生量</w:t>
            </w:r>
          </w:p>
        </w:tc>
        <w:tc>
          <w:tcPr>
            <w:tcW w:w="2514" w:type="dxa"/>
            <w:gridSpan w:val="2"/>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处理后排放浓度及</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排放量</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pStyle w:val="19"/>
              <w:snapToGrid w:val="0"/>
              <w:spacing w:line="240" w:lineRule="atLeast"/>
              <w:ind w:firstLine="23" w:firstLineChars="11"/>
              <w:jc w:val="center"/>
              <w:rPr>
                <w:rFonts w:eastAsiaTheme="minorEastAsia"/>
                <w:sz w:val="21"/>
                <w:szCs w:val="21"/>
              </w:rPr>
            </w:pPr>
          </w:p>
        </w:tc>
        <w:tc>
          <w:tcPr>
            <w:tcW w:w="1506" w:type="dxa"/>
            <w:vMerge w:val="continue"/>
            <w:vAlign w:val="center"/>
          </w:tcPr>
          <w:p>
            <w:pPr>
              <w:snapToGrid w:val="0"/>
              <w:spacing w:line="240" w:lineRule="atLeast"/>
              <w:ind w:firstLine="23" w:firstLineChars="11"/>
              <w:jc w:val="center"/>
              <w:rPr>
                <w:rFonts w:eastAsiaTheme="minorEastAsia"/>
                <w:sz w:val="21"/>
                <w:szCs w:val="21"/>
              </w:rPr>
            </w:pPr>
          </w:p>
        </w:tc>
        <w:tc>
          <w:tcPr>
            <w:tcW w:w="1264"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产生浓度</w:t>
            </w:r>
          </w:p>
        </w:tc>
        <w:tc>
          <w:tcPr>
            <w:tcW w:w="1338"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产生量</w:t>
            </w:r>
          </w:p>
        </w:tc>
        <w:tc>
          <w:tcPr>
            <w:tcW w:w="1273"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排放浓度</w:t>
            </w:r>
          </w:p>
        </w:tc>
        <w:tc>
          <w:tcPr>
            <w:tcW w:w="1241"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排放量</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大气污染物</w:t>
            </w:r>
          </w:p>
        </w:tc>
        <w:tc>
          <w:tcPr>
            <w:tcW w:w="1280"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食堂</w:t>
            </w:r>
          </w:p>
        </w:tc>
        <w:tc>
          <w:tcPr>
            <w:tcW w:w="1506" w:type="dxa"/>
            <w:vAlign w:val="center"/>
          </w:tcPr>
          <w:p>
            <w:pPr>
              <w:widowControl/>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燃用天然气废气</w:t>
            </w:r>
          </w:p>
        </w:tc>
        <w:tc>
          <w:tcPr>
            <w:tcW w:w="5116" w:type="dxa"/>
            <w:gridSpan w:val="4"/>
            <w:vAlign w:val="center"/>
          </w:tcPr>
          <w:p>
            <w:pPr>
              <w:widowControl/>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食堂燃用</w:t>
            </w:r>
            <w:r>
              <w:rPr>
                <w:rFonts w:hAnsi="宋体"/>
                <w:sz w:val="21"/>
                <w:szCs w:val="21"/>
              </w:rPr>
              <w:t>城市</w:t>
            </w:r>
            <w:r>
              <w:rPr>
                <w:rFonts w:hAnsiTheme="minorEastAsia" w:eastAsiaTheme="minorEastAsia"/>
                <w:sz w:val="21"/>
                <w:szCs w:val="21"/>
              </w:rPr>
              <w:t>管道</w:t>
            </w:r>
            <w:r>
              <w:rPr>
                <w:rFonts w:hAnsi="宋体"/>
                <w:sz w:val="21"/>
                <w:szCs w:val="21"/>
              </w:rPr>
              <w:t>天然气，属于清洁能源，主要成分为甲烷，燃烧产物主要为二氧化碳和水蒸</w:t>
            </w:r>
            <w:r>
              <w:rPr>
                <w:rFonts w:hint="eastAsia" w:hAnsi="宋体"/>
                <w:sz w:val="21"/>
                <w:szCs w:val="21"/>
                <w:lang w:eastAsia="zh-CN"/>
              </w:rPr>
              <w:t>气</w:t>
            </w:r>
            <w:bookmarkStart w:id="1" w:name="_GoBack"/>
            <w:bookmarkEnd w:id="1"/>
            <w:r>
              <w:rPr>
                <w:rFonts w:hAnsi="宋体"/>
                <w:sz w:val="21"/>
                <w:szCs w:val="21"/>
              </w:rPr>
              <w:t>，对周围环境空气的影响较小。</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widowControl/>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油烟废气</w:t>
            </w:r>
          </w:p>
        </w:tc>
        <w:tc>
          <w:tcPr>
            <w:tcW w:w="1264"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9mg/m</w:t>
            </w:r>
            <w:r>
              <w:rPr>
                <w:rFonts w:eastAsiaTheme="minorEastAsia"/>
                <w:sz w:val="21"/>
                <w:szCs w:val="21"/>
                <w:vertAlign w:val="superscript"/>
              </w:rPr>
              <w:t>3</w:t>
            </w:r>
          </w:p>
        </w:tc>
        <w:tc>
          <w:tcPr>
            <w:tcW w:w="1338"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39.42kg/a</w:t>
            </w:r>
          </w:p>
        </w:tc>
        <w:tc>
          <w:tcPr>
            <w:tcW w:w="1273"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1.8mg/m</w:t>
            </w:r>
            <w:r>
              <w:rPr>
                <w:rFonts w:eastAsiaTheme="minorEastAsia"/>
                <w:sz w:val="21"/>
                <w:szCs w:val="21"/>
                <w:vertAlign w:val="superscript"/>
              </w:rPr>
              <w:t>3</w:t>
            </w:r>
          </w:p>
        </w:tc>
        <w:tc>
          <w:tcPr>
            <w:tcW w:w="1241"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7.88kg/a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bookmarkStart w:id="0" w:name="_Hlk306908845"/>
            <w:r>
              <w:rPr>
                <w:rFonts w:hAnsiTheme="minorEastAsia" w:eastAsiaTheme="minorEastAsia"/>
                <w:sz w:val="21"/>
                <w:szCs w:val="21"/>
              </w:rPr>
              <w:t>水污</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染物</w:t>
            </w:r>
          </w:p>
        </w:tc>
        <w:tc>
          <w:tcPr>
            <w:tcW w:w="1280"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生活污水</w:t>
            </w:r>
            <w:r>
              <w:rPr>
                <w:rFonts w:eastAsiaTheme="minorEastAsia"/>
                <w:sz w:val="21"/>
                <w:szCs w:val="21"/>
              </w:rPr>
              <w:t>3533.2m</w:t>
            </w:r>
            <w:r>
              <w:rPr>
                <w:rFonts w:eastAsiaTheme="minorEastAsia"/>
                <w:sz w:val="21"/>
                <w:szCs w:val="21"/>
                <w:vertAlign w:val="superscript"/>
              </w:rPr>
              <w:t>3</w:t>
            </w:r>
            <w:r>
              <w:rPr>
                <w:rFonts w:eastAsiaTheme="minorEastAsia"/>
                <w:sz w:val="21"/>
                <w:szCs w:val="21"/>
              </w:rPr>
              <w:t>/a</w:t>
            </w:r>
          </w:p>
        </w:tc>
        <w:tc>
          <w:tcPr>
            <w:tcW w:w="1506" w:type="dxa"/>
            <w:vAlign w:val="center"/>
          </w:tcPr>
          <w:p>
            <w:pPr>
              <w:widowControl/>
              <w:snapToGrid w:val="0"/>
              <w:spacing w:line="240" w:lineRule="atLeast"/>
              <w:ind w:firstLine="23" w:firstLineChars="11"/>
              <w:jc w:val="center"/>
              <w:rPr>
                <w:rFonts w:eastAsiaTheme="minorEastAsia"/>
                <w:sz w:val="21"/>
                <w:szCs w:val="21"/>
              </w:rPr>
            </w:pPr>
            <w:r>
              <w:rPr>
                <w:rFonts w:eastAsiaTheme="minorEastAsia"/>
                <w:sz w:val="21"/>
                <w:szCs w:val="21"/>
              </w:rPr>
              <w:t>CODcr</w:t>
            </w:r>
          </w:p>
        </w:tc>
        <w:tc>
          <w:tcPr>
            <w:tcW w:w="1264" w:type="dxa"/>
            <w:vAlign w:val="center"/>
          </w:tcPr>
          <w:p>
            <w:pPr>
              <w:snapToGrid w:val="0"/>
              <w:spacing w:line="240" w:lineRule="atLeast"/>
              <w:ind w:firstLine="23" w:firstLineChars="11"/>
              <w:jc w:val="center"/>
              <w:rPr>
                <w:sz w:val="21"/>
                <w:szCs w:val="21"/>
              </w:rPr>
            </w:pPr>
            <w:r>
              <w:rPr>
                <w:sz w:val="21"/>
                <w:szCs w:val="21"/>
              </w:rPr>
              <w:t>350mg/L</w:t>
            </w:r>
          </w:p>
        </w:tc>
        <w:tc>
          <w:tcPr>
            <w:tcW w:w="1338" w:type="dxa"/>
            <w:vAlign w:val="center"/>
          </w:tcPr>
          <w:p>
            <w:pPr>
              <w:widowControl/>
              <w:snapToGrid w:val="0"/>
              <w:spacing w:line="240" w:lineRule="atLeast"/>
              <w:ind w:firstLine="23" w:firstLineChars="11"/>
              <w:jc w:val="center"/>
              <w:rPr>
                <w:rFonts w:eastAsiaTheme="minorEastAsia"/>
                <w:sz w:val="21"/>
                <w:szCs w:val="21"/>
              </w:rPr>
            </w:pPr>
            <w:r>
              <w:rPr>
                <w:rFonts w:eastAsiaTheme="minorEastAsia"/>
                <w:sz w:val="21"/>
                <w:szCs w:val="21"/>
              </w:rPr>
              <w:t>1.24t/a</w:t>
            </w:r>
          </w:p>
        </w:tc>
        <w:tc>
          <w:tcPr>
            <w:tcW w:w="1273" w:type="dxa"/>
            <w:vAlign w:val="center"/>
          </w:tcPr>
          <w:p>
            <w:pPr>
              <w:snapToGrid w:val="0"/>
              <w:spacing w:line="240" w:lineRule="atLeast"/>
              <w:ind w:firstLine="23" w:firstLineChars="11"/>
              <w:jc w:val="center"/>
              <w:rPr>
                <w:sz w:val="21"/>
                <w:szCs w:val="21"/>
              </w:rPr>
            </w:pPr>
            <w:r>
              <w:rPr>
                <w:rFonts w:hint="eastAsia"/>
                <w:sz w:val="21"/>
                <w:szCs w:val="21"/>
              </w:rPr>
              <w:t>297.18</w:t>
            </w:r>
            <w:r>
              <w:rPr>
                <w:sz w:val="21"/>
                <w:szCs w:val="21"/>
              </w:rPr>
              <w:t>mg/L</w:t>
            </w:r>
          </w:p>
        </w:tc>
        <w:tc>
          <w:tcPr>
            <w:tcW w:w="1241" w:type="dxa"/>
            <w:vAlign w:val="center"/>
          </w:tcPr>
          <w:p>
            <w:pPr>
              <w:widowControl/>
              <w:snapToGrid w:val="0"/>
              <w:spacing w:line="240" w:lineRule="atLeast"/>
              <w:ind w:firstLine="23" w:firstLineChars="11"/>
              <w:jc w:val="center"/>
              <w:rPr>
                <w:rFonts w:eastAsiaTheme="minorEastAsia"/>
                <w:sz w:val="21"/>
                <w:szCs w:val="21"/>
              </w:rPr>
            </w:pPr>
            <w:r>
              <w:rPr>
                <w:rFonts w:eastAsiaTheme="minorEastAsia"/>
                <w:sz w:val="21"/>
                <w:szCs w:val="21"/>
              </w:rPr>
              <w:t>1.05t/a</w:t>
            </w:r>
          </w:p>
        </w:tc>
      </w:tr>
      <w:bookmarkEnd w:id="0"/>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BOD</w:t>
            </w:r>
            <w:r>
              <w:rPr>
                <w:rFonts w:eastAsiaTheme="minorEastAsia"/>
                <w:sz w:val="21"/>
                <w:szCs w:val="21"/>
                <w:vertAlign w:val="subscript"/>
              </w:rPr>
              <w:t>5</w:t>
            </w:r>
          </w:p>
        </w:tc>
        <w:tc>
          <w:tcPr>
            <w:tcW w:w="1264" w:type="dxa"/>
            <w:vAlign w:val="center"/>
          </w:tcPr>
          <w:p>
            <w:pPr>
              <w:snapToGrid w:val="0"/>
              <w:spacing w:line="240" w:lineRule="atLeast"/>
              <w:ind w:firstLine="23" w:firstLineChars="11"/>
              <w:jc w:val="center"/>
              <w:rPr>
                <w:sz w:val="21"/>
                <w:szCs w:val="21"/>
              </w:rPr>
            </w:pPr>
            <w:r>
              <w:rPr>
                <w:sz w:val="21"/>
                <w:szCs w:val="21"/>
              </w:rPr>
              <w:t>200mg/L</w:t>
            </w:r>
          </w:p>
        </w:tc>
        <w:tc>
          <w:tcPr>
            <w:tcW w:w="1338"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0.71t/a</w:t>
            </w:r>
          </w:p>
        </w:tc>
        <w:tc>
          <w:tcPr>
            <w:tcW w:w="1273" w:type="dxa"/>
            <w:vAlign w:val="center"/>
          </w:tcPr>
          <w:p>
            <w:pPr>
              <w:snapToGrid w:val="0"/>
              <w:spacing w:line="240" w:lineRule="atLeast"/>
              <w:ind w:firstLine="23" w:firstLineChars="11"/>
              <w:jc w:val="center"/>
              <w:rPr>
                <w:sz w:val="21"/>
                <w:szCs w:val="21"/>
              </w:rPr>
            </w:pPr>
            <w:r>
              <w:rPr>
                <w:rFonts w:hint="eastAsia"/>
                <w:sz w:val="21"/>
                <w:szCs w:val="21"/>
              </w:rPr>
              <w:t>183.97</w:t>
            </w:r>
            <w:r>
              <w:rPr>
                <w:sz w:val="21"/>
                <w:szCs w:val="21"/>
              </w:rPr>
              <w:t>mg/L</w:t>
            </w:r>
          </w:p>
        </w:tc>
        <w:tc>
          <w:tcPr>
            <w:tcW w:w="1241"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0.65t/a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SS</w:t>
            </w:r>
          </w:p>
        </w:tc>
        <w:tc>
          <w:tcPr>
            <w:tcW w:w="1264" w:type="dxa"/>
            <w:vAlign w:val="center"/>
          </w:tcPr>
          <w:p>
            <w:pPr>
              <w:snapToGrid w:val="0"/>
              <w:spacing w:line="240" w:lineRule="atLeast"/>
              <w:ind w:firstLine="23" w:firstLineChars="11"/>
              <w:jc w:val="center"/>
              <w:rPr>
                <w:sz w:val="21"/>
                <w:szCs w:val="21"/>
              </w:rPr>
            </w:pPr>
            <w:r>
              <w:rPr>
                <w:sz w:val="21"/>
                <w:szCs w:val="21"/>
              </w:rPr>
              <w:t>350mg/L</w:t>
            </w:r>
          </w:p>
        </w:tc>
        <w:tc>
          <w:tcPr>
            <w:tcW w:w="1338"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1.24t/a</w:t>
            </w:r>
          </w:p>
        </w:tc>
        <w:tc>
          <w:tcPr>
            <w:tcW w:w="1273" w:type="dxa"/>
            <w:vAlign w:val="center"/>
          </w:tcPr>
          <w:p>
            <w:pPr>
              <w:snapToGrid w:val="0"/>
              <w:spacing w:line="240" w:lineRule="atLeast"/>
              <w:ind w:firstLine="23" w:firstLineChars="11"/>
              <w:jc w:val="center"/>
              <w:rPr>
                <w:sz w:val="21"/>
                <w:szCs w:val="21"/>
              </w:rPr>
            </w:pPr>
            <w:r>
              <w:rPr>
                <w:rFonts w:hint="eastAsia"/>
                <w:sz w:val="21"/>
                <w:szCs w:val="21"/>
              </w:rPr>
              <w:t>246.24</w:t>
            </w:r>
            <w:r>
              <w:rPr>
                <w:sz w:val="21"/>
                <w:szCs w:val="21"/>
              </w:rPr>
              <w:t>mg/L</w:t>
            </w:r>
          </w:p>
        </w:tc>
        <w:tc>
          <w:tcPr>
            <w:tcW w:w="1241"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0.87t/a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Merge w:val="continue"/>
            <w:vAlign w:val="center"/>
          </w:tcPr>
          <w:p>
            <w:pPr>
              <w:snapToGrid w:val="0"/>
              <w:spacing w:line="240" w:lineRule="atLeast"/>
              <w:ind w:firstLine="23" w:firstLineChars="11"/>
              <w:jc w:val="center"/>
              <w:rPr>
                <w:rFonts w:eastAsiaTheme="minorEastAsia"/>
                <w:sz w:val="21"/>
                <w:szCs w:val="21"/>
              </w:rPr>
            </w:pPr>
          </w:p>
        </w:tc>
        <w:tc>
          <w:tcPr>
            <w:tcW w:w="1506"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NH</w:t>
            </w:r>
            <w:r>
              <w:rPr>
                <w:rFonts w:eastAsiaTheme="minorEastAsia"/>
                <w:sz w:val="21"/>
                <w:szCs w:val="21"/>
                <w:vertAlign w:val="subscript"/>
              </w:rPr>
              <w:t>3</w:t>
            </w:r>
            <w:r>
              <w:rPr>
                <w:rFonts w:eastAsiaTheme="minorEastAsia"/>
                <w:sz w:val="21"/>
                <w:szCs w:val="21"/>
              </w:rPr>
              <w:t>-N</w:t>
            </w:r>
          </w:p>
        </w:tc>
        <w:tc>
          <w:tcPr>
            <w:tcW w:w="1264" w:type="dxa"/>
            <w:vAlign w:val="center"/>
          </w:tcPr>
          <w:p>
            <w:pPr>
              <w:snapToGrid w:val="0"/>
              <w:spacing w:line="240" w:lineRule="atLeast"/>
              <w:ind w:firstLine="23" w:firstLineChars="11"/>
              <w:jc w:val="center"/>
              <w:rPr>
                <w:sz w:val="21"/>
                <w:szCs w:val="21"/>
              </w:rPr>
            </w:pPr>
            <w:r>
              <w:rPr>
                <w:sz w:val="21"/>
                <w:szCs w:val="21"/>
              </w:rPr>
              <w:t>45mg/L</w:t>
            </w:r>
          </w:p>
        </w:tc>
        <w:tc>
          <w:tcPr>
            <w:tcW w:w="1338"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0.16t/a</w:t>
            </w:r>
          </w:p>
        </w:tc>
        <w:tc>
          <w:tcPr>
            <w:tcW w:w="1273" w:type="dxa"/>
            <w:vAlign w:val="center"/>
          </w:tcPr>
          <w:p>
            <w:pPr>
              <w:snapToGrid w:val="0"/>
              <w:spacing w:line="240" w:lineRule="atLeast"/>
              <w:ind w:firstLine="23" w:firstLineChars="11"/>
              <w:jc w:val="center"/>
              <w:rPr>
                <w:sz w:val="21"/>
                <w:szCs w:val="21"/>
              </w:rPr>
            </w:pPr>
            <w:r>
              <w:rPr>
                <w:sz w:val="21"/>
                <w:szCs w:val="21"/>
              </w:rPr>
              <w:t>4</w:t>
            </w:r>
            <w:r>
              <w:rPr>
                <w:rFonts w:hint="eastAsia"/>
                <w:sz w:val="21"/>
                <w:szCs w:val="21"/>
              </w:rPr>
              <w:t>2.45</w:t>
            </w:r>
            <w:r>
              <w:rPr>
                <w:sz w:val="21"/>
                <w:szCs w:val="21"/>
              </w:rPr>
              <w:t>mg/L</w:t>
            </w:r>
          </w:p>
        </w:tc>
        <w:tc>
          <w:tcPr>
            <w:tcW w:w="1241" w:type="dxa"/>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0.15t/a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固体</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废物</w:t>
            </w:r>
          </w:p>
        </w:tc>
        <w:tc>
          <w:tcPr>
            <w:tcW w:w="1280"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生活垃圾</w:t>
            </w:r>
          </w:p>
        </w:tc>
        <w:tc>
          <w:tcPr>
            <w:tcW w:w="1506" w:type="dxa"/>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废纸屑等</w:t>
            </w:r>
          </w:p>
        </w:tc>
        <w:tc>
          <w:tcPr>
            <w:tcW w:w="2602" w:type="dxa"/>
            <w:gridSpan w:val="2"/>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19.71t/a</w:t>
            </w:r>
          </w:p>
        </w:tc>
        <w:tc>
          <w:tcPr>
            <w:tcW w:w="2514" w:type="dxa"/>
            <w:gridSpan w:val="2"/>
            <w:vAlign w:val="center"/>
          </w:tcPr>
          <w:p>
            <w:pPr>
              <w:snapToGrid w:val="0"/>
              <w:spacing w:line="240" w:lineRule="atLeast"/>
              <w:ind w:firstLine="23" w:firstLineChars="11"/>
              <w:jc w:val="center"/>
              <w:rPr>
                <w:rFonts w:eastAsiaTheme="minorEastAsia"/>
                <w:sz w:val="21"/>
                <w:szCs w:val="21"/>
              </w:rPr>
            </w:pPr>
            <w:r>
              <w:rPr>
                <w:rFonts w:eastAsiaTheme="minorEastAsia"/>
                <w:sz w:val="21"/>
                <w:szCs w:val="21"/>
              </w:rPr>
              <w:t>19.71t/a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食堂</w:t>
            </w:r>
            <w:r>
              <w:rPr>
                <w:rFonts w:hAnsiTheme="minorEastAsia" w:eastAsiaTheme="minorEastAsia"/>
                <w:sz w:val="21"/>
                <w:szCs w:val="21"/>
              </w:rPr>
              <w:t>餐厨垃圾</w:t>
            </w:r>
          </w:p>
        </w:tc>
        <w:tc>
          <w:tcPr>
            <w:tcW w:w="1506" w:type="dxa"/>
            <w:vAlign w:val="center"/>
          </w:tcPr>
          <w:p>
            <w:pPr>
              <w:snapToGrid w:val="0"/>
              <w:spacing w:line="240" w:lineRule="atLeast"/>
              <w:ind w:firstLine="23" w:firstLineChars="11"/>
              <w:jc w:val="center"/>
              <w:rPr>
                <w:rFonts w:eastAsiaTheme="minorEastAsia"/>
                <w:sz w:val="21"/>
                <w:szCs w:val="21"/>
              </w:rPr>
            </w:pPr>
            <w:r>
              <w:rPr>
                <w:rFonts w:hint="eastAsia" w:hAnsiTheme="minorEastAsia" w:eastAsiaTheme="minorEastAsia"/>
                <w:sz w:val="21"/>
                <w:szCs w:val="21"/>
              </w:rPr>
              <w:t>餐余垃圾、隔油池油泥</w:t>
            </w:r>
          </w:p>
        </w:tc>
        <w:tc>
          <w:tcPr>
            <w:tcW w:w="2602" w:type="dxa"/>
            <w:gridSpan w:val="2"/>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3.65</w:t>
            </w:r>
            <w:r>
              <w:rPr>
                <w:rFonts w:eastAsiaTheme="minorEastAsia"/>
                <w:sz w:val="21"/>
                <w:szCs w:val="21"/>
              </w:rPr>
              <w:t>t/a</w:t>
            </w:r>
          </w:p>
        </w:tc>
        <w:tc>
          <w:tcPr>
            <w:tcW w:w="2514" w:type="dxa"/>
            <w:gridSpan w:val="2"/>
            <w:vAlign w:val="center"/>
          </w:tcPr>
          <w:p>
            <w:pPr>
              <w:snapToGrid w:val="0"/>
              <w:spacing w:line="240" w:lineRule="atLeast"/>
              <w:ind w:firstLine="23" w:firstLineChars="11"/>
              <w:jc w:val="center"/>
              <w:rPr>
                <w:rFonts w:eastAsiaTheme="minorEastAsia"/>
                <w:sz w:val="21"/>
                <w:szCs w:val="21"/>
              </w:rPr>
            </w:pPr>
            <w:r>
              <w:rPr>
                <w:rFonts w:hint="eastAsia" w:eastAsiaTheme="minorEastAsia"/>
                <w:sz w:val="21"/>
                <w:szCs w:val="21"/>
              </w:rPr>
              <w:t>3.65</w:t>
            </w:r>
            <w:r>
              <w:rPr>
                <w:rFonts w:eastAsiaTheme="minorEastAsia"/>
                <w:sz w:val="21"/>
                <w:szCs w:val="21"/>
              </w:rPr>
              <w:t>t/a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restart"/>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噪</w:t>
            </w:r>
          </w:p>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声</w:t>
            </w:r>
          </w:p>
        </w:tc>
        <w:tc>
          <w:tcPr>
            <w:tcW w:w="1280" w:type="dxa"/>
            <w:tcBorders>
              <w:bottom w:val="single" w:color="auto" w:sz="4" w:space="0"/>
              <w:right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自身噪声</w:t>
            </w:r>
          </w:p>
        </w:tc>
        <w:tc>
          <w:tcPr>
            <w:tcW w:w="6622" w:type="dxa"/>
            <w:gridSpan w:val="5"/>
            <w:tcBorders>
              <w:left w:val="single" w:color="auto" w:sz="4" w:space="0"/>
              <w:bottom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主要来自于食堂油烟风机、洗衣设备、泵类等，噪声源强约为</w:t>
            </w:r>
            <w:r>
              <w:rPr>
                <w:rFonts w:eastAsiaTheme="minorEastAsia"/>
                <w:sz w:val="21"/>
                <w:szCs w:val="21"/>
              </w:rPr>
              <w:t xml:space="preserve">65~75dB(A) </w:t>
            </w:r>
            <w:r>
              <w:rPr>
                <w:rFonts w:hAnsiTheme="minorEastAsia" w:eastAsiaTheme="minorEastAsia"/>
                <w:sz w:val="21"/>
                <w:szCs w:val="21"/>
              </w:rPr>
              <w:t>，采</w:t>
            </w:r>
            <w:r>
              <w:rPr>
                <w:rFonts w:hint="eastAsia" w:hAnsiTheme="minorEastAsia" w:eastAsiaTheme="minorEastAsia"/>
                <w:sz w:val="21"/>
                <w:szCs w:val="21"/>
              </w:rPr>
              <w:t>取</w:t>
            </w:r>
            <w:r>
              <w:rPr>
                <w:rFonts w:hAnsiTheme="minorEastAsia" w:eastAsiaTheme="minorEastAsia"/>
                <w:sz w:val="21"/>
                <w:szCs w:val="21"/>
              </w:rPr>
              <w:t>减振、隔声、房屋屏蔽措施后，噪声消减</w:t>
            </w:r>
            <w:r>
              <w:rPr>
                <w:rFonts w:eastAsiaTheme="minorEastAsia"/>
                <w:sz w:val="21"/>
                <w:szCs w:val="21"/>
              </w:rPr>
              <w:t>20dB</w:t>
            </w:r>
            <w:r>
              <w:rPr>
                <w:rFonts w:hAnsiTheme="minorEastAsia" w:eastAsiaTheme="minorEastAsia"/>
                <w:sz w:val="21"/>
                <w:szCs w:val="21"/>
              </w:rPr>
              <w:t>（</w:t>
            </w:r>
            <w:r>
              <w:rPr>
                <w:rFonts w:eastAsiaTheme="minorEastAsia"/>
                <w:sz w:val="21"/>
                <w:szCs w:val="21"/>
              </w:rPr>
              <w:t>A</w:t>
            </w:r>
            <w:r>
              <w:rPr>
                <w:rFonts w:hAnsiTheme="minorEastAsia" w:eastAsiaTheme="minorEastAsia"/>
                <w:sz w:val="21"/>
                <w:szCs w:val="21"/>
              </w:rPr>
              <w:t>）以上。</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8" w:type="dxa"/>
            <w:vMerge w:val="continue"/>
            <w:vAlign w:val="center"/>
          </w:tcPr>
          <w:p>
            <w:pPr>
              <w:snapToGrid w:val="0"/>
              <w:spacing w:line="240" w:lineRule="atLeast"/>
              <w:ind w:firstLine="23" w:firstLineChars="11"/>
              <w:jc w:val="center"/>
              <w:rPr>
                <w:rFonts w:eastAsiaTheme="minorEastAsia"/>
                <w:sz w:val="21"/>
                <w:szCs w:val="21"/>
              </w:rPr>
            </w:pPr>
          </w:p>
        </w:tc>
        <w:tc>
          <w:tcPr>
            <w:tcW w:w="1280" w:type="dxa"/>
            <w:tcBorders>
              <w:top w:val="single" w:color="auto" w:sz="4" w:space="0"/>
              <w:right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外界噪声</w:t>
            </w:r>
          </w:p>
        </w:tc>
        <w:tc>
          <w:tcPr>
            <w:tcW w:w="6622" w:type="dxa"/>
            <w:gridSpan w:val="5"/>
            <w:tcBorders>
              <w:top w:val="single" w:color="auto" w:sz="4" w:space="0"/>
              <w:left w:val="single" w:color="auto" w:sz="4" w:space="0"/>
            </w:tcBorders>
            <w:vAlign w:val="center"/>
          </w:tcPr>
          <w:p>
            <w:pPr>
              <w:snapToGrid w:val="0"/>
              <w:spacing w:line="240" w:lineRule="atLeast"/>
              <w:ind w:firstLine="23" w:firstLineChars="11"/>
              <w:jc w:val="center"/>
              <w:rPr>
                <w:rFonts w:eastAsiaTheme="minorEastAsia"/>
                <w:sz w:val="21"/>
                <w:szCs w:val="21"/>
              </w:rPr>
            </w:pPr>
            <w:r>
              <w:rPr>
                <w:rFonts w:hAnsiTheme="minorEastAsia" w:eastAsiaTheme="minorEastAsia"/>
                <w:sz w:val="21"/>
                <w:szCs w:val="21"/>
              </w:rPr>
              <w:t>外界主要噪声源来自社会人员活动噪声和汽车行驶交通噪声。本项目工作站及会议室均采用了隔声窗，并且在场地内空闲地带进行绿化隔离带建设，种植多层次的树木从而形成隔声屏障来降低外界噪声影响。</w:t>
            </w:r>
          </w:p>
        </w:tc>
      </w:tr>
    </w:tbl>
    <w:p>
      <w:pPr>
        <w:pStyle w:val="2"/>
      </w:pPr>
      <w:r>
        <w:t>主要生态环境影响：</w:t>
      </w:r>
    </w:p>
    <w:p>
      <w:pPr>
        <w:spacing w:line="460" w:lineRule="exact"/>
        <w:ind w:firstLine="480"/>
      </w:pPr>
      <w:r>
        <w:rPr>
          <w:rFonts w:hint="eastAsia"/>
        </w:rPr>
        <w:t>本项目总用地面积为13847.39m</w:t>
      </w:r>
      <w:r>
        <w:rPr>
          <w:rFonts w:hint="eastAsia"/>
          <w:vertAlign w:val="superscript"/>
        </w:rPr>
        <w:t>2</w:t>
      </w:r>
      <w:r>
        <w:rPr>
          <w:rFonts w:hint="eastAsia"/>
        </w:rPr>
        <w:t>，本项目没有破坏生态系统和物种的多样性，项目区内以当地常见树种进行了绿化植被种植，有利于项目所在区域的水土保持。</w:t>
      </w:r>
    </w:p>
    <w:p>
      <w:pPr>
        <w:spacing w:line="460" w:lineRule="exact"/>
        <w:ind w:firstLine="480"/>
      </w:pPr>
      <w:r>
        <w:rPr>
          <w:rFonts w:hint="eastAsia"/>
        </w:rPr>
        <w:t>项目建成后，除建筑物、部分附属设施、道路场地外，均被草坪、树木等绿色植被覆盖，通过精心设计，将会进一步提高运营期的环境有利影响，将发挥其良好的生态功能及景观改善功能。</w:t>
      </w:r>
    </w:p>
    <w:p>
      <w:pPr>
        <w:spacing w:line="460" w:lineRule="exact"/>
        <w:ind w:firstLine="480"/>
      </w:pPr>
    </w:p>
    <w:p>
      <w:pPr>
        <w:ind w:firstLine="482"/>
        <w:jc w:val="left"/>
        <w:rPr>
          <w:rFonts w:eastAsia="黑体"/>
          <w:b/>
          <w:bCs/>
        </w:rPr>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12" w:charSpace="0"/>
        </w:sectPr>
      </w:pPr>
    </w:p>
    <w:p>
      <w:pPr>
        <w:pStyle w:val="2"/>
      </w:pPr>
      <w:r>
        <w:rPr>
          <w:szCs w:val="21"/>
        </w:rPr>
        <w:pict>
          <v:shape id="Text Box 2357" o:spid="_x0000_s1092" o:spt="202" type="#_x0000_t202" style="position:absolute;left:0pt;margin-left:-6.1pt;margin-top:-37.3pt;height:36.9pt;width:128.3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EtgIAAMQ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">
            <v:path/>
            <v:fill on="f" focussize="0,0"/>
            <v:stroke on="f" color="#FFFFFF" joinstyle="miter"/>
            <v:imagedata o:title=""/>
            <o:lock v:ext="edit"/>
            <v:textbox>
              <w:txbxContent>
                <w:p>
                  <w:pPr>
                    <w:ind w:firstLine="0" w:firstLineChars="0"/>
                    <w:rPr>
                      <w:rFonts w:ascii="黑体" w:eastAsia="黑体"/>
                      <w:b/>
                      <w:bCs/>
                      <w:color w:val="000000"/>
                      <w:sz w:val="30"/>
                    </w:rPr>
                  </w:pPr>
                  <w:r>
                    <w:rPr>
                      <w:rFonts w:hint="eastAsia" w:ascii="黑体" w:eastAsia="黑体"/>
                      <w:b/>
                      <w:bCs/>
                      <w:color w:val="000000"/>
                      <w:sz w:val="30"/>
                    </w:rPr>
                    <w:t>环境影响分析</w:t>
                  </w:r>
                </w:p>
              </w:txbxContent>
            </v:textbox>
          </v:shape>
        </w:pict>
      </w:r>
      <w:r>
        <w:t>施工期环境影响分析</w:t>
      </w:r>
    </w:p>
    <w:p>
      <w:pPr>
        <w:ind w:firstLine="480"/>
      </w:pPr>
      <w:r>
        <w:rPr>
          <w:rFonts w:hint="eastAsia"/>
        </w:rPr>
        <w:t>本项目为五台山警苑山庄（警苑工作站）建设项目，属于非生产性建设项目，根据现场勘察，本项目已经基本建成，项目区内未发现施工建设过程后遗留的环境问题，没有裸露地面存在，均采取了场地硬化和绿化恢复措施，以当地常见树种进行了绿化植被种植，项目区环境现状面貌良好，不再对施工期环境影响进行赘述。</w:t>
      </w:r>
    </w:p>
    <w:p>
      <w:pPr>
        <w:ind w:firstLine="480"/>
      </w:pPr>
      <w:r>
        <w:pict>
          <v:shape id="_x0000_s1126" o:spid="_x0000_s1126" o:spt="32" type="#_x0000_t32" style="position:absolute;left:0pt;margin-left:-6.1pt;margin-top:10.65pt;height:0pt;width:436.3pt;z-index:251696128;mso-width-relative:page;mso-height-relative:page;" o:connectortype="straight" filled="f" stroked="t" coordsize="21600,21600">
            <v:path arrowok="t"/>
            <v:fill on="f" focussize="0,0"/>
            <v:stroke color="#000000"/>
            <v:imagedata o:title=""/>
            <o:lock v:ext="edit"/>
          </v:shape>
        </w:pict>
      </w:r>
    </w:p>
    <w:p>
      <w:pPr>
        <w:pStyle w:val="2"/>
      </w:pPr>
      <w:r>
        <w:t>营运期环境影响分析</w:t>
      </w:r>
    </w:p>
    <w:p>
      <w:pPr>
        <w:pStyle w:val="3"/>
        <w:ind w:firstLine="480"/>
      </w:pPr>
      <w:r>
        <w:rPr>
          <w:rFonts w:hint="eastAsia"/>
        </w:rPr>
        <w:t>1、大气环境影响分析</w:t>
      </w:r>
    </w:p>
    <w:p>
      <w:pPr>
        <w:ind w:firstLine="480"/>
      </w:pPr>
      <w:r>
        <w:rPr>
          <w:rFonts w:hint="eastAsia"/>
        </w:rPr>
        <w:t>项目运营期废气主要为食堂燃用天然气燃烧废气、食堂油烟。</w:t>
      </w:r>
    </w:p>
    <w:p>
      <w:pPr>
        <w:ind w:firstLine="480"/>
      </w:pPr>
      <w:r>
        <w:rPr>
          <w:rFonts w:hint="eastAsia"/>
        </w:rPr>
        <w:t>（1）食堂燃用天然气燃烧废气</w:t>
      </w:r>
    </w:p>
    <w:p>
      <w:pPr>
        <w:spacing w:line="480" w:lineRule="exact"/>
        <w:ind w:firstLine="480"/>
      </w:pPr>
      <w:r>
        <w:rPr>
          <w:rFonts w:hint="eastAsia"/>
        </w:rPr>
        <w:t>本项目食堂燃用管道天然气，气源为丁香-五台天然气输送管线石咀分输站，通过中压燃气管道接入项目区东南角的调压器，转换为低压后接入食堂低压燃气管道，食堂年用天然气量为1500m</w:t>
      </w:r>
      <w:r>
        <w:rPr>
          <w:rFonts w:hint="eastAsia"/>
          <w:vertAlign w:val="superscript"/>
        </w:rPr>
        <w:t>3</w:t>
      </w:r>
      <w:r>
        <w:rPr>
          <w:rFonts w:hint="eastAsia"/>
        </w:rPr>
        <w:t>/a</w:t>
      </w:r>
      <w:r>
        <w:t>。</w:t>
      </w:r>
      <w:r>
        <w:rPr>
          <w:rFonts w:hint="eastAsia"/>
        </w:rPr>
        <w:t>城市管道天然气</w:t>
      </w:r>
      <w:r>
        <w:t>属清洁能源，主要成分为</w:t>
      </w:r>
      <w:r>
        <w:rPr>
          <w:rFonts w:hint="eastAsia"/>
        </w:rPr>
        <w:t>甲烷</w:t>
      </w:r>
      <w:r>
        <w:t>，燃烧产物</w:t>
      </w:r>
      <w:r>
        <w:rPr>
          <w:rFonts w:hint="eastAsia"/>
        </w:rPr>
        <w:t>主要为二氧化碳和水蒸汽，</w:t>
      </w:r>
      <w:r>
        <w:t>污染物排放量较小，对周围环境空气的影响较小</w:t>
      </w:r>
      <w:r>
        <w:rPr>
          <w:rFonts w:hint="eastAsia"/>
        </w:rPr>
        <w:t>。</w:t>
      </w:r>
    </w:p>
    <w:p>
      <w:pPr>
        <w:ind w:firstLine="480"/>
      </w:pPr>
      <w:r>
        <w:rPr>
          <w:rFonts w:hint="eastAsia"/>
        </w:rPr>
        <w:t>（2）油烟废气</w:t>
      </w:r>
    </w:p>
    <w:p>
      <w:pPr>
        <w:ind w:firstLine="480"/>
      </w:pPr>
      <w:r>
        <w:rPr>
          <w:rFonts w:hint="eastAsia"/>
        </w:rPr>
        <w:t>本项目食堂食用人员按最多人数计，共108人，每人每日消耗动植物油按0.05kg计，则项目食用油量为5.4kg/d，年消耗食用油1971kg/a，挥发出的油烟量约为2%，则食堂油烟产生量约39.42kg/a。</w:t>
      </w:r>
    </w:p>
    <w:p>
      <w:pPr>
        <w:ind w:firstLine="480"/>
      </w:pPr>
      <w:r>
        <w:rPr>
          <w:rFonts w:hint="eastAsia"/>
        </w:rPr>
        <w:t>本项目食堂设2个灶头，在食堂灶台上方设置集气罩，油烟集气罩投影面积应大于灶台面，设一套高效复合油烟净化器，处理风量约为4000m</w:t>
      </w:r>
      <w:r>
        <w:rPr>
          <w:rFonts w:hint="eastAsia"/>
          <w:vertAlign w:val="superscript"/>
        </w:rPr>
        <w:t>3</w:t>
      </w:r>
      <w:r>
        <w:rPr>
          <w:rFonts w:hint="eastAsia"/>
        </w:rPr>
        <w:t>/h，处理效率达到80%，经此油烟净化处理设施处理后，本项目油烟排放量为7.88kg/a，每日灶台运行时间为3小时，则油烟排放浓度为1.8mg/m</w:t>
      </w:r>
      <w:r>
        <w:rPr>
          <w:rFonts w:hint="eastAsia"/>
          <w:vertAlign w:val="superscript"/>
        </w:rPr>
        <w:t>3</w:t>
      </w:r>
      <w:r>
        <w:rPr>
          <w:rFonts w:hint="eastAsia"/>
        </w:rPr>
        <w:t>，排放浓度满足《饮食业油烟排放标准（试行）》（GB18483-2001）小型标准要求，油烟净化处理后废气经过屋顶排气口排放，不会对周围环境产生不良影响。</w:t>
      </w:r>
    </w:p>
    <w:p>
      <w:pPr>
        <w:pStyle w:val="3"/>
        <w:ind w:firstLine="480"/>
      </w:pPr>
      <w:r>
        <w:rPr>
          <w:rFonts w:hint="eastAsia"/>
        </w:rPr>
        <w:t xml:space="preserve">2、水环境影响分析 </w:t>
      </w:r>
    </w:p>
    <w:p>
      <w:pPr>
        <w:ind w:firstLine="480"/>
      </w:pPr>
      <w:r>
        <w:rPr>
          <w:rFonts w:hint="eastAsia"/>
          <w:snapToGrid w:val="0"/>
          <w:kern w:val="0"/>
        </w:rPr>
        <w:t>本项目采用雨污分流的排水体制。</w:t>
      </w:r>
      <w:r>
        <w:rPr>
          <w:rFonts w:hint="eastAsia"/>
        </w:rPr>
        <w:t>项目区内</w:t>
      </w:r>
      <w:r>
        <w:rPr>
          <w:rFonts w:hint="eastAsia"/>
          <w:snapToGrid w:val="0"/>
          <w:kern w:val="0"/>
        </w:rPr>
        <w:t>雨水沿地面坡度进入雨水排水管道，最终排出项目区外</w:t>
      </w:r>
      <w:r>
        <w:rPr>
          <w:rFonts w:hint="eastAsia"/>
        </w:rPr>
        <w:t>排水沟渠。</w:t>
      </w:r>
    </w:p>
    <w:p>
      <w:pPr>
        <w:ind w:firstLine="480"/>
      </w:pPr>
      <w:r>
        <w:rPr>
          <w:rFonts w:hint="eastAsia"/>
        </w:rPr>
        <w:t>项目运营期废水主要为人员生活污水、食堂废水、洗衣废水，废水排放量为3533.2m</w:t>
      </w:r>
      <w:r>
        <w:rPr>
          <w:rFonts w:hint="eastAsia"/>
          <w:vertAlign w:val="superscript"/>
        </w:rPr>
        <w:t>3</w:t>
      </w:r>
      <w:r>
        <w:rPr>
          <w:rFonts w:hint="eastAsia"/>
        </w:rPr>
        <w:t>/a，废水中主要含COD、BOD</w:t>
      </w:r>
      <w:r>
        <w:rPr>
          <w:rFonts w:hint="eastAsia"/>
          <w:vertAlign w:val="subscript"/>
        </w:rPr>
        <w:t>5</w:t>
      </w:r>
      <w:r>
        <w:rPr>
          <w:rFonts w:hint="eastAsia"/>
        </w:rPr>
        <w:t>、SS、NH</w:t>
      </w:r>
      <w:r>
        <w:rPr>
          <w:rFonts w:hint="eastAsia"/>
          <w:vertAlign w:val="subscript"/>
        </w:rPr>
        <w:t>3</w:t>
      </w:r>
      <w:r>
        <w:rPr>
          <w:rFonts w:hint="eastAsia"/>
        </w:rPr>
        <w:t>-N等污染物。</w:t>
      </w:r>
    </w:p>
    <w:p>
      <w:pPr>
        <w:spacing w:line="480" w:lineRule="exact"/>
        <w:ind w:firstLine="436" w:firstLineChars="182"/>
      </w:pPr>
      <w:r>
        <w:t>本项目年用水量为</w:t>
      </w:r>
      <w:r>
        <w:rPr>
          <w:rFonts w:hint="eastAsia"/>
        </w:rPr>
        <w:t>5623.6</w:t>
      </w:r>
      <w:r>
        <w:t>m</w:t>
      </w:r>
      <w:r>
        <w:rPr>
          <w:vertAlign w:val="superscript"/>
        </w:rPr>
        <w:t>3</w:t>
      </w:r>
      <w:r>
        <w:rPr>
          <w:rFonts w:hint="eastAsia"/>
        </w:rPr>
        <w:t>，</w:t>
      </w:r>
      <w:r>
        <w:t>年</w:t>
      </w:r>
      <w:r>
        <w:rPr>
          <w:rFonts w:hint="eastAsia"/>
        </w:rPr>
        <w:t>排</w:t>
      </w:r>
      <w:r>
        <w:t>水量为</w:t>
      </w:r>
      <w:r>
        <w:rPr>
          <w:rFonts w:hint="eastAsia"/>
        </w:rPr>
        <w:t>3533.2</w:t>
      </w:r>
      <w:r>
        <w:t>m</w:t>
      </w:r>
      <w:r>
        <w:rPr>
          <w:vertAlign w:val="superscript"/>
        </w:rPr>
        <w:t>3</w:t>
      </w:r>
      <w:r>
        <w:rPr>
          <w:rFonts w:hint="eastAsia"/>
        </w:rPr>
        <w:t>，食堂废水经隔油池（1m</w:t>
      </w:r>
      <w:r>
        <w:rPr>
          <w:rFonts w:hint="eastAsia"/>
          <w:vertAlign w:val="superscript"/>
        </w:rPr>
        <w:t>3</w:t>
      </w:r>
      <w:r>
        <w:rPr>
          <w:rFonts w:hint="eastAsia"/>
        </w:rPr>
        <w:t>）隔油后与生活污水一起排入化粪池（200m</w:t>
      </w:r>
      <w:r>
        <w:rPr>
          <w:rFonts w:hint="eastAsia"/>
          <w:vertAlign w:val="superscript"/>
        </w:rPr>
        <w:t>3</w:t>
      </w:r>
      <w:r>
        <w:rPr>
          <w:rFonts w:hint="eastAsia"/>
        </w:rPr>
        <w:t>）预处理，然后由污水罐车定期送至五台山杨柏峪污水处理厂。</w:t>
      </w:r>
      <w:r>
        <w:t>类比同类型项目污染物排放情况，污染物</w:t>
      </w:r>
      <w:r>
        <w:rPr>
          <w:rFonts w:hint="eastAsia"/>
        </w:rPr>
        <w:t>产生</w:t>
      </w:r>
      <w:r>
        <w:t>浓度</w:t>
      </w:r>
      <w:r>
        <w:rPr>
          <w:rFonts w:hint="eastAsia"/>
        </w:rPr>
        <w:t>约</w:t>
      </w:r>
      <w:r>
        <w:t>为CODcr：350mg/L，BOD</w:t>
      </w:r>
      <w:r>
        <w:rPr>
          <w:vertAlign w:val="subscript"/>
        </w:rPr>
        <w:t>5</w:t>
      </w:r>
      <w:r>
        <w:t>：2</w:t>
      </w:r>
      <w:r>
        <w:rPr>
          <w:rFonts w:hint="eastAsia"/>
        </w:rPr>
        <w:t>0</w:t>
      </w:r>
      <w:r>
        <w:t>0mg/L，SS：</w:t>
      </w:r>
      <w:r>
        <w:rPr>
          <w:rFonts w:hint="eastAsia"/>
        </w:rPr>
        <w:t>3</w:t>
      </w:r>
      <w:r>
        <w:t>50mg/L</w:t>
      </w:r>
      <w:r>
        <w:rPr>
          <w:rFonts w:hint="eastAsia"/>
        </w:rPr>
        <w:t>，氨氮：45</w:t>
      </w:r>
      <w:r>
        <w:t xml:space="preserve"> mg/L</w:t>
      </w:r>
      <w:r>
        <w:rPr>
          <w:rFonts w:hint="eastAsia"/>
        </w:rPr>
        <w:t>，</w:t>
      </w:r>
      <w:r>
        <w:t>产生量分别为</w:t>
      </w:r>
      <w:r>
        <w:rPr>
          <w:rFonts w:hint="eastAsia"/>
        </w:rPr>
        <w:t>1.24</w:t>
      </w:r>
      <w:r>
        <w:t>t/a、</w:t>
      </w:r>
      <w:r>
        <w:rPr>
          <w:rFonts w:hint="eastAsia"/>
        </w:rPr>
        <w:t>0.71</w:t>
      </w:r>
      <w:r>
        <w:t>t/a、</w:t>
      </w:r>
      <w:r>
        <w:rPr>
          <w:rFonts w:hint="eastAsia"/>
        </w:rPr>
        <w:t>1.24</w:t>
      </w:r>
      <w:r>
        <w:t>t/a</w:t>
      </w:r>
      <w:r>
        <w:rPr>
          <w:rFonts w:hint="eastAsia"/>
        </w:rPr>
        <w:t>、0.16</w:t>
      </w:r>
      <w:r>
        <w:t>t/a</w:t>
      </w:r>
      <w:r>
        <w:rPr>
          <w:rFonts w:hint="eastAsia"/>
        </w:rPr>
        <w:t>。经化粪池初步处理后，生活污水中各</w:t>
      </w:r>
      <w:r>
        <w:t>污染物</w:t>
      </w:r>
      <w:r>
        <w:rPr>
          <w:rFonts w:hint="eastAsia"/>
        </w:rPr>
        <w:t>排放</w:t>
      </w:r>
      <w:r>
        <w:t>浓度分别为CODcr：</w:t>
      </w:r>
      <w:r>
        <w:rPr>
          <w:rFonts w:hint="eastAsia"/>
        </w:rPr>
        <w:t>297.18</w:t>
      </w:r>
      <w:r>
        <w:t>mg/L，BOD</w:t>
      </w:r>
      <w:r>
        <w:rPr>
          <w:vertAlign w:val="subscript"/>
        </w:rPr>
        <w:t>5</w:t>
      </w:r>
      <w:r>
        <w:t>：</w:t>
      </w:r>
      <w:r>
        <w:rPr>
          <w:rFonts w:hint="eastAsia"/>
        </w:rPr>
        <w:t>183.97</w:t>
      </w:r>
      <w:r>
        <w:t>mg/L，SS：</w:t>
      </w:r>
      <w:r>
        <w:rPr>
          <w:rFonts w:hint="eastAsia"/>
        </w:rPr>
        <w:t>246.24</w:t>
      </w:r>
      <w:r>
        <w:t>mg/L</w:t>
      </w:r>
      <w:r>
        <w:rPr>
          <w:rFonts w:hint="eastAsia"/>
        </w:rPr>
        <w:t>，氨氮：42.45</w:t>
      </w:r>
      <w:r>
        <w:t>mg/L</w:t>
      </w:r>
      <w:r>
        <w:rPr>
          <w:rFonts w:hint="eastAsia"/>
        </w:rPr>
        <w:t>，排放</w:t>
      </w:r>
      <w:r>
        <w:t>量分别为</w:t>
      </w:r>
      <w:r>
        <w:rPr>
          <w:rFonts w:hint="eastAsia"/>
        </w:rPr>
        <w:t>1.05t</w:t>
      </w:r>
      <w:r>
        <w:t>/a、</w:t>
      </w:r>
      <w:r>
        <w:rPr>
          <w:rFonts w:hint="eastAsia"/>
        </w:rPr>
        <w:t>0.65</w:t>
      </w:r>
      <w:r>
        <w:t>t/a、</w:t>
      </w:r>
      <w:r>
        <w:rPr>
          <w:rFonts w:hint="eastAsia"/>
        </w:rPr>
        <w:t>0.87</w:t>
      </w:r>
      <w:r>
        <w:t>t/a</w:t>
      </w:r>
      <w:r>
        <w:rPr>
          <w:rFonts w:hint="eastAsia"/>
        </w:rPr>
        <w:t>、0.15</w:t>
      </w:r>
      <w:r>
        <w:t>t/a</w:t>
      </w:r>
      <w:r>
        <w:rPr>
          <w:rFonts w:hint="eastAsia"/>
        </w:rPr>
        <w:t>。</w:t>
      </w:r>
    </w:p>
    <w:p>
      <w:pPr>
        <w:ind w:firstLine="480"/>
      </w:pPr>
      <w:r>
        <w:rPr>
          <w:rFonts w:hint="eastAsia"/>
        </w:rPr>
        <w:t>项目食堂废水经隔油池后同其他生活污水一同进入化粪池预处理，处理后的</w:t>
      </w:r>
      <w:r>
        <w:rPr>
          <w:rFonts w:hint="eastAsia" w:hAnsi="宋体"/>
        </w:rPr>
        <w:t>废水水质满足《污水排入城镇下水道水质标准》（GB/T31962-2015）中A级标准要求，</w:t>
      </w:r>
      <w:r>
        <w:rPr>
          <w:rFonts w:hint="eastAsia"/>
        </w:rPr>
        <w:t>由污水罐车定期送至五台山杨柏峪污水处理厂。</w:t>
      </w:r>
    </w:p>
    <w:p>
      <w:pPr>
        <w:ind w:firstLine="480"/>
      </w:pPr>
      <w:r>
        <w:rPr>
          <w:rFonts w:hint="eastAsia"/>
        </w:rPr>
        <w:t>本项目西北直线距离清水河约90m、西向直距西湾村水井约90m，距离地表水体和地下水井较近，因此本项目化粪池、隔油池的防渗措施必须要做好，本次评价对食堂隔油池和项目区化粪池进行了回顾性调查，采用了混凝土防渗结构，评价要求进一步使用环氧树脂防渗漆进行涂刷，保证防渗系数达到1.0×10</w:t>
      </w:r>
      <w:r>
        <w:rPr>
          <w:rFonts w:hint="eastAsia"/>
          <w:vertAlign w:val="superscript"/>
        </w:rPr>
        <w:t>-7</w:t>
      </w:r>
      <w:r>
        <w:rPr>
          <w:rFonts w:hint="eastAsia"/>
        </w:rPr>
        <w:t xml:space="preserve">cm/s以上。综上所述，落实以上措施后，本项目对区域水环境不会造成影响。 </w:t>
      </w:r>
    </w:p>
    <w:p>
      <w:pPr>
        <w:pStyle w:val="3"/>
        <w:ind w:firstLine="480"/>
      </w:pPr>
      <w:r>
        <w:rPr>
          <w:rFonts w:hint="eastAsia"/>
        </w:rPr>
        <w:t>3、声环境影响分析</w:t>
      </w:r>
    </w:p>
    <w:p>
      <w:pPr>
        <w:ind w:firstLine="480"/>
      </w:pPr>
      <w:r>
        <w:rPr>
          <w:rFonts w:hint="eastAsia"/>
        </w:rPr>
        <w:t>①项目自身噪声</w:t>
      </w:r>
    </w:p>
    <w:p>
      <w:pPr>
        <w:spacing w:line="560" w:lineRule="exact"/>
        <w:ind w:firstLine="480"/>
        <w:rPr>
          <w:rFonts w:hAnsi="宋体"/>
        </w:rPr>
      </w:pPr>
      <w:r>
        <w:rPr>
          <w:rFonts w:hint="eastAsia" w:hAnsi="宋体"/>
        </w:rPr>
        <w:t>本项目噪声主要来自于食堂油烟风机、洗衣设备、泵类、社会人员噪声和车辆噪声等。</w:t>
      </w:r>
    </w:p>
    <w:p>
      <w:pPr>
        <w:pStyle w:val="7"/>
        <w:snapToGrid w:val="0"/>
        <w:spacing w:line="440" w:lineRule="atLeast"/>
        <w:rPr>
          <w:color w:val="auto"/>
          <w:sz w:val="21"/>
          <w:szCs w:val="21"/>
        </w:rPr>
      </w:pPr>
      <w:r>
        <w:rPr>
          <w:rFonts w:hint="eastAsia"/>
          <w:color w:val="auto"/>
          <w:sz w:val="21"/>
          <w:szCs w:val="21"/>
        </w:rPr>
        <w:t>表14    主要噪声源的声压级</w:t>
      </w:r>
    </w:p>
    <w:tbl>
      <w:tblPr>
        <w:tblStyle w:val="4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53"/>
        <w:gridCol w:w="3389"/>
        <w:gridCol w:w="2140"/>
        <w:gridCol w:w="2138"/>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sz w:val="21"/>
                <w:szCs w:val="21"/>
              </w:rPr>
              <w:t>序号</w:t>
            </w:r>
          </w:p>
        </w:tc>
        <w:tc>
          <w:tcPr>
            <w:tcW w:w="1943" w:type="pct"/>
            <w:vAlign w:val="center"/>
          </w:tcPr>
          <w:p>
            <w:pPr>
              <w:keepNext/>
              <w:keepLines/>
              <w:spacing w:line="340" w:lineRule="exact"/>
              <w:ind w:firstLine="23" w:firstLineChars="11"/>
              <w:jc w:val="center"/>
              <w:rPr>
                <w:sz w:val="21"/>
                <w:szCs w:val="21"/>
              </w:rPr>
            </w:pPr>
            <w:r>
              <w:rPr>
                <w:sz w:val="21"/>
                <w:szCs w:val="21"/>
              </w:rPr>
              <w:t>噪声源</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Leq dB</w:t>
            </w:r>
            <w:r>
              <w:rPr>
                <w:sz w:val="21"/>
                <w:szCs w:val="21"/>
              </w:rPr>
              <w:t>（</w:t>
            </w:r>
            <w:r>
              <w:rPr>
                <w:rFonts w:hint="eastAsia"/>
                <w:sz w:val="21"/>
                <w:szCs w:val="21"/>
              </w:rPr>
              <w:t>A</w:t>
            </w:r>
            <w:r>
              <w:rPr>
                <w:sz w:val="21"/>
                <w:szCs w:val="21"/>
              </w:rPr>
              <w:t>）</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备注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1</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食堂油烟风机</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75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连续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2</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洗衣设备、泵类</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75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连续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3</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社会人员噪声</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65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间歇</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04" w:type="pct"/>
            <w:vAlign w:val="center"/>
          </w:tcPr>
          <w:p>
            <w:pPr>
              <w:keepNext/>
              <w:keepLines/>
              <w:spacing w:line="340" w:lineRule="exact"/>
              <w:ind w:firstLine="23" w:firstLineChars="11"/>
              <w:jc w:val="center"/>
              <w:rPr>
                <w:sz w:val="21"/>
                <w:szCs w:val="21"/>
              </w:rPr>
            </w:pPr>
            <w:r>
              <w:rPr>
                <w:rFonts w:hint="eastAsia"/>
                <w:sz w:val="21"/>
                <w:szCs w:val="21"/>
              </w:rPr>
              <w:t>4</w:t>
            </w:r>
          </w:p>
        </w:tc>
        <w:tc>
          <w:tcPr>
            <w:tcW w:w="1943" w:type="pct"/>
            <w:vAlign w:val="center"/>
          </w:tcPr>
          <w:p>
            <w:pPr>
              <w:keepNext/>
              <w:keepLines/>
              <w:spacing w:line="340" w:lineRule="exact"/>
              <w:ind w:firstLine="23" w:firstLineChars="11"/>
              <w:jc w:val="center"/>
              <w:rPr>
                <w:sz w:val="21"/>
                <w:szCs w:val="21"/>
              </w:rPr>
            </w:pPr>
            <w:r>
              <w:rPr>
                <w:rFonts w:hint="eastAsia"/>
                <w:sz w:val="21"/>
                <w:szCs w:val="21"/>
              </w:rPr>
              <w:t>车辆噪声</w:t>
            </w:r>
          </w:p>
        </w:tc>
        <w:tc>
          <w:tcPr>
            <w:tcW w:w="1227" w:type="pct"/>
            <w:vAlign w:val="center"/>
          </w:tcPr>
          <w:p>
            <w:pPr>
              <w:keepNext/>
              <w:keepLines/>
              <w:spacing w:line="340" w:lineRule="exact"/>
              <w:ind w:firstLine="23" w:firstLineChars="11"/>
              <w:jc w:val="center"/>
              <w:rPr>
                <w:sz w:val="21"/>
                <w:szCs w:val="21"/>
              </w:rPr>
            </w:pPr>
            <w:r>
              <w:rPr>
                <w:rFonts w:hint="eastAsia"/>
                <w:sz w:val="21"/>
                <w:szCs w:val="21"/>
              </w:rPr>
              <w:t>65</w:t>
            </w:r>
          </w:p>
        </w:tc>
        <w:tc>
          <w:tcPr>
            <w:tcW w:w="1226" w:type="pct"/>
            <w:vAlign w:val="center"/>
          </w:tcPr>
          <w:p>
            <w:pPr>
              <w:keepNext/>
              <w:keepLines/>
              <w:spacing w:line="340" w:lineRule="exact"/>
              <w:ind w:firstLine="23" w:firstLineChars="11"/>
              <w:jc w:val="center"/>
              <w:rPr>
                <w:sz w:val="21"/>
                <w:szCs w:val="21"/>
              </w:rPr>
            </w:pPr>
            <w:r>
              <w:rPr>
                <w:rFonts w:hint="eastAsia"/>
                <w:sz w:val="21"/>
                <w:szCs w:val="21"/>
              </w:rPr>
              <w:t>间歇</w:t>
            </w:r>
          </w:p>
        </w:tc>
      </w:tr>
    </w:tbl>
    <w:p>
      <w:pPr>
        <w:spacing w:line="240" w:lineRule="atLeast"/>
        <w:ind w:firstLine="420"/>
        <w:jc w:val="center"/>
        <w:rPr>
          <w:sz w:val="21"/>
          <w:szCs w:val="21"/>
        </w:rPr>
      </w:pPr>
    </w:p>
    <w:p>
      <w:pPr>
        <w:adjustRightInd w:val="0"/>
        <w:snapToGrid w:val="0"/>
        <w:spacing w:line="480" w:lineRule="exact"/>
        <w:ind w:firstLine="480"/>
      </w:pPr>
      <w:r>
        <w:rPr>
          <w:rFonts w:hint="eastAsia"/>
        </w:rPr>
        <w:t>社会噪声、车辆均为间断噪声，要加强进出车辆的管理，采取必要的管理措施：如限速在30km/h以内，项目区内限制鸣笛；应合理进出通道，降低车辆拥挤程度；保证道路平整，避免车辆在行驶中产生意外噪声。</w:t>
      </w:r>
    </w:p>
    <w:p>
      <w:pPr>
        <w:adjustRightInd w:val="0"/>
        <w:snapToGrid w:val="0"/>
        <w:spacing w:line="480" w:lineRule="exact"/>
        <w:ind w:firstLine="480"/>
        <w:rPr>
          <w:rFonts w:hAnsi="宋体"/>
        </w:rPr>
      </w:pPr>
      <w:r>
        <w:rPr>
          <w:rFonts w:hint="eastAsia" w:hAnsi="宋体"/>
        </w:rPr>
        <w:t>对于食堂油烟风机、洗衣设备、泵类等设备噪声采取以下防治</w:t>
      </w:r>
      <w:r>
        <w:rPr>
          <w:rFonts w:hAnsi="宋体"/>
        </w:rPr>
        <w:t>措施</w:t>
      </w:r>
      <w:r>
        <w:rPr>
          <w:rFonts w:hint="eastAsia" w:hAnsi="宋体"/>
        </w:rPr>
        <w:t>：</w:t>
      </w:r>
      <w:r>
        <w:rPr>
          <w:rFonts w:hint="eastAsia"/>
        </w:rPr>
        <w:t>首先选择低噪声设备，对设备安装减震垫、消声器，对设备间门窗进行密封降噪处理。采取以上减振、隔声、房屋屏蔽措施后，噪声消减20dB（A）以上。</w:t>
      </w:r>
      <w:r>
        <w:rPr>
          <w:rFonts w:hAnsi="宋体"/>
        </w:rPr>
        <w:t>各噪声源采取</w:t>
      </w:r>
      <w:r>
        <w:rPr>
          <w:rFonts w:hint="eastAsia" w:hAnsi="宋体"/>
        </w:rPr>
        <w:t>相应</w:t>
      </w:r>
      <w:r>
        <w:rPr>
          <w:rFonts w:hAnsi="宋体"/>
        </w:rPr>
        <w:t>措施</w:t>
      </w:r>
      <w:r>
        <w:rPr>
          <w:rFonts w:hint="eastAsia" w:hAnsi="宋体"/>
        </w:rPr>
        <w:t>并经</w:t>
      </w:r>
      <w:r>
        <w:rPr>
          <w:rFonts w:hAnsi="宋体"/>
        </w:rPr>
        <w:t>建筑物隔声、绿化带降噪等措施后，</w:t>
      </w:r>
      <w:r>
        <w:rPr>
          <w:rFonts w:hint="eastAsia" w:hAnsi="宋体"/>
        </w:rPr>
        <w:t>项目区场</w:t>
      </w:r>
      <w:r>
        <w:rPr>
          <w:rFonts w:hAnsi="宋体"/>
        </w:rPr>
        <w:t>界噪声</w:t>
      </w:r>
      <w:r>
        <w:rPr>
          <w:rFonts w:hint="eastAsia" w:hAnsi="宋体"/>
        </w:rPr>
        <w:t>均可</w:t>
      </w:r>
      <w:r>
        <w:rPr>
          <w:rFonts w:hAnsi="宋体"/>
        </w:rPr>
        <w:t>达到《</w:t>
      </w:r>
      <w:r>
        <w:rPr>
          <w:rFonts w:hint="eastAsia" w:hAnsi="宋体"/>
        </w:rPr>
        <w:t>工业企业厂界环境噪声排放标准</w:t>
      </w:r>
      <w:r>
        <w:rPr>
          <w:rFonts w:hAnsi="宋体"/>
        </w:rPr>
        <w:t>》（GB</w:t>
      </w:r>
      <w:r>
        <w:rPr>
          <w:rFonts w:hint="eastAsia" w:hAnsi="宋体"/>
        </w:rPr>
        <w:t>12348</w:t>
      </w:r>
      <w:r>
        <w:rPr>
          <w:rFonts w:hAnsi="宋体"/>
        </w:rPr>
        <w:t>－</w:t>
      </w:r>
      <w:r>
        <w:rPr>
          <w:rFonts w:hint="eastAsia" w:hAnsi="宋体"/>
        </w:rPr>
        <w:t>2008</w:t>
      </w:r>
      <w:r>
        <w:rPr>
          <w:rFonts w:hAnsi="宋体"/>
        </w:rPr>
        <w:t>）</w:t>
      </w:r>
      <w:r>
        <w:rPr>
          <w:rFonts w:hint="eastAsia" w:hAnsi="宋体"/>
        </w:rPr>
        <w:t>1</w:t>
      </w:r>
      <w:r>
        <w:rPr>
          <w:rFonts w:hAnsi="宋体"/>
        </w:rPr>
        <w:t>类标准。</w:t>
      </w:r>
    </w:p>
    <w:p>
      <w:pPr>
        <w:ind w:firstLine="480"/>
      </w:pPr>
      <w:r>
        <w:rPr>
          <w:rFonts w:hint="eastAsia"/>
        </w:rPr>
        <w:t>④外界噪声源对项目的影响</w:t>
      </w:r>
    </w:p>
    <w:p>
      <w:pPr>
        <w:ind w:firstLine="480"/>
      </w:pPr>
      <w:r>
        <w:rPr>
          <w:rFonts w:hint="eastAsia"/>
        </w:rPr>
        <w:t>本项目周围环境比较简单，外界主要噪声源来自社会人员活动噪声和汽车行驶交通噪声。这种影响从声源上很难控制其对本项目工作站及会议的影响，因此仅能从项目本身采取措施，来降低外界噪声的影响。本项目工作站及会议室均采用了隔声窗，并且在场地内空闲地带进行绿化隔离带建设，种植多层次的树木从而形成隔声屏障来降低外界噪声影响。采取以上措施后，外界噪声对项目工作站及会议室影响不大。</w:t>
      </w:r>
    </w:p>
    <w:p>
      <w:pPr>
        <w:pStyle w:val="3"/>
        <w:ind w:firstLine="480"/>
      </w:pPr>
      <w:r>
        <w:rPr>
          <w:rFonts w:hint="eastAsia"/>
        </w:rPr>
        <w:t xml:space="preserve">4、固体废物影响分析 </w:t>
      </w:r>
    </w:p>
    <w:p>
      <w:pPr>
        <w:ind w:firstLine="480"/>
      </w:pPr>
      <w:r>
        <w:rPr>
          <w:rFonts w:hint="eastAsia"/>
        </w:rPr>
        <w:t>项目运营期固体废物主要是日常生活垃圾、餐厨垃圾等。</w:t>
      </w:r>
    </w:p>
    <w:p>
      <w:pPr>
        <w:ind w:firstLine="480"/>
      </w:pPr>
      <w:r>
        <w:rPr>
          <w:rFonts w:hint="eastAsia"/>
        </w:rPr>
        <w:t>生活垃圾产生系数为0.5kg/d·人，本项目人员按最多人数计，即108人，则生活垃圾产生量为19.71t/a，生活垃圾主要成分包括纸屑、废塑料袋、废包装物等。</w:t>
      </w:r>
    </w:p>
    <w:p>
      <w:pPr>
        <w:ind w:firstLine="480"/>
      </w:pPr>
      <w:r>
        <w:rPr>
          <w:rFonts w:hint="eastAsia"/>
        </w:rPr>
        <w:t>食堂产生的餐厨垃圾包括餐余垃圾以及隔油池油泥，本项目餐厨垃圾产生量约为10kg/d，年产生量约为3.65t/a。根据环境保护部环函环函[2006]395号文“关于餐饮行业产生的废弃食用油脂是否属于生活垃圾的复函”，餐厨垃圾，包括废弃食用油脂属于生活垃圾范畴，因此环评要求，环评要求食堂设1个密闭专用塑料桶用于收集餐厨垃圾，定期交由景区环卫部门统一进行处置。</w:t>
      </w:r>
    </w:p>
    <w:p>
      <w:pPr>
        <w:ind w:firstLine="480"/>
      </w:pPr>
      <w:r>
        <w:rPr>
          <w:rFonts w:hint="eastAsia"/>
        </w:rPr>
        <w:t>本项目共需设置15个垃圾桶，</w:t>
      </w:r>
      <w:r>
        <w:t>垃圾经分类收集后由环卫部门统一处理，不滞留，不积压，更不能使垃圾造成二次污染，特别是在夏秋之季，垃圾是蚊虫病菌繁殖的温床，要更加严格管理，即时清除，杜绝危害，做到日产日清。</w:t>
      </w:r>
      <w:r>
        <w:rPr>
          <w:rFonts w:hint="eastAsia"/>
        </w:rPr>
        <w:t>经定点收集后，交由五台山风景区环卫部门统一清运。同时，环评要求建设单位应建立严格的固体废物管理制度，应设专人管理，加强对游客环保意识的管理；绿化区设置管理人员和醒目标识，提示禁止乱扔垃圾。</w:t>
      </w:r>
    </w:p>
    <w:p>
      <w:pPr>
        <w:ind w:firstLine="480"/>
      </w:pPr>
      <w:r>
        <w:rPr>
          <w:rFonts w:hint="eastAsia"/>
        </w:rPr>
        <w:t>采取以上措施后，本项目产生的固体废物不会对周围环境产生大的影响。</w:t>
      </w:r>
    </w:p>
    <w:p>
      <w:pPr>
        <w:pStyle w:val="3"/>
        <w:ind w:firstLine="480"/>
      </w:pPr>
      <w:r>
        <w:rPr>
          <w:rFonts w:hint="eastAsia"/>
        </w:rPr>
        <w:t xml:space="preserve">5、生态环境影响分析 </w:t>
      </w:r>
    </w:p>
    <w:p>
      <w:pPr>
        <w:ind w:firstLine="480"/>
      </w:pPr>
      <w:r>
        <w:rPr>
          <w:rFonts w:hint="eastAsia"/>
        </w:rPr>
        <w:t>项目营运期主要影响有对生物多样性的影响、对生物系统结构的整体性和连续性的影响、对生态系统的功能和可持续利用的影响、对植被的影响和水土流失影响等。</w:t>
      </w:r>
    </w:p>
    <w:p>
      <w:pPr>
        <w:ind w:firstLine="480"/>
      </w:pPr>
      <w:r>
        <w:rPr>
          <w:rFonts w:hint="eastAsia"/>
        </w:rPr>
        <w:t>（1）对生物多样性的影响分析</w:t>
      </w:r>
    </w:p>
    <w:p>
      <w:pPr>
        <w:ind w:firstLine="480"/>
      </w:pPr>
      <w:r>
        <w:rPr>
          <w:rFonts w:hint="eastAsia"/>
        </w:rPr>
        <w:t>本项目总用地面积为13847.39m</w:t>
      </w:r>
      <w:r>
        <w:rPr>
          <w:rFonts w:hint="eastAsia"/>
          <w:vertAlign w:val="superscript"/>
        </w:rPr>
        <w:t>2</w:t>
      </w:r>
      <w:r>
        <w:rPr>
          <w:rFonts w:hint="eastAsia"/>
        </w:rPr>
        <w:t>，项目区为利用原红白理事会已有的建筑，本项目不涉及其他建设内容，区内绿化植被较好，项目区域周边植被覆盖完整，生态环境优美，没有濒危物种，本项目也不会引起植物及其它物种灭绝，因此，本项目对生物多样性没有影响。</w:t>
      </w:r>
    </w:p>
    <w:p>
      <w:pPr>
        <w:ind w:firstLine="480"/>
      </w:pPr>
      <w:r>
        <w:rPr>
          <w:rFonts w:hint="eastAsia"/>
        </w:rPr>
        <w:t>（2）对生物系统结构的整体性和连续性的影响分析</w:t>
      </w:r>
    </w:p>
    <w:p>
      <w:pPr>
        <w:ind w:firstLine="480"/>
      </w:pPr>
      <w:r>
        <w:rPr>
          <w:rFonts w:hint="eastAsia"/>
        </w:rPr>
        <w:t>本项目没有破坏生态系统和物种的多样性，项目区内绿化均为当地常见树种，绿化面积达到4327.3</w:t>
      </w:r>
      <w:r>
        <w:t>m</w:t>
      </w:r>
      <w:r>
        <w:rPr>
          <w:vertAlign w:val="superscript"/>
        </w:rPr>
        <w:t>2</w:t>
      </w:r>
      <w:r>
        <w:rPr>
          <w:rFonts w:hint="eastAsia"/>
        </w:rPr>
        <w:t>，绿化率31.25</w:t>
      </w:r>
      <w:r>
        <w:t>%</w:t>
      </w:r>
      <w:r>
        <w:rPr>
          <w:rFonts w:hint="eastAsia"/>
        </w:rPr>
        <w:t>，从而保持原有生态系统和物种的多样性。</w:t>
      </w:r>
    </w:p>
    <w:p>
      <w:pPr>
        <w:ind w:firstLine="480"/>
      </w:pPr>
      <w:r>
        <w:rPr>
          <w:rFonts w:hint="eastAsia"/>
        </w:rPr>
        <w:t>（3）水土流失影响分析</w:t>
      </w:r>
    </w:p>
    <w:p>
      <w:pPr>
        <w:ind w:firstLine="480"/>
      </w:pPr>
      <w:r>
        <w:rPr>
          <w:rFonts w:hint="eastAsia"/>
        </w:rPr>
        <w:t>项目区内以当地常见树种进行了绿化植被种植，有利于项目所在区域的水土保持。项目建设可以进一步完善五台山风景名胜区的基础公共设施，推动本地区旅游业和当地文化建设发展，改善周边环境。</w:t>
      </w:r>
    </w:p>
    <w:p>
      <w:pPr>
        <w:ind w:firstLine="480"/>
      </w:pPr>
      <w:r>
        <w:rPr>
          <w:rFonts w:hint="eastAsia"/>
        </w:rPr>
        <w:t>（4）对植被影响分析</w:t>
      </w:r>
    </w:p>
    <w:p>
      <w:pPr>
        <w:ind w:firstLine="480"/>
      </w:pPr>
      <w:r>
        <w:rPr>
          <w:rFonts w:hint="eastAsia"/>
        </w:rPr>
        <w:t>为体现人与自然的和谐，本项目根据现有景观进行造景，项目区的绿化率也将达到31.25%以上，总绿化面积将达到4327.3m</w:t>
      </w:r>
      <w:r>
        <w:rPr>
          <w:rFonts w:hint="eastAsia"/>
          <w:vertAlign w:val="superscript"/>
        </w:rPr>
        <w:t>2</w:t>
      </w:r>
      <w:r>
        <w:rPr>
          <w:rFonts w:hint="eastAsia"/>
        </w:rPr>
        <w:t>，因此，本项目不会对区域植被造成不利影响。</w:t>
      </w:r>
    </w:p>
    <w:p>
      <w:pPr>
        <w:ind w:firstLine="480"/>
      </w:pPr>
      <w:r>
        <w:rPr>
          <w:rFonts w:hint="eastAsia"/>
        </w:rPr>
        <w:t>（5）生态景观影响</w:t>
      </w:r>
    </w:p>
    <w:p>
      <w:pPr>
        <w:ind w:firstLine="480"/>
      </w:pPr>
      <w:r>
        <w:rPr>
          <w:rFonts w:hint="eastAsia"/>
        </w:rPr>
        <w:t xml:space="preserve">本项目的建筑风格设计为古建筑风格，符合五台山景区总体古建筑风格，本项目与周围生态景观协调一致，对区域景观无不利影响，客观上使五台山景区生态景观得以可持续发展，对生态景观面貌起到积极作用。 </w:t>
      </w:r>
    </w:p>
    <w:p>
      <w:pPr>
        <w:pStyle w:val="3"/>
        <w:ind w:firstLine="480"/>
      </w:pPr>
      <w:r>
        <w:rPr>
          <w:rFonts w:hint="eastAsia"/>
        </w:rPr>
        <w:t xml:space="preserve">6、达标排放、总量控制分析 </w:t>
      </w:r>
    </w:p>
    <w:p>
      <w:pPr>
        <w:ind w:firstLine="480"/>
      </w:pPr>
      <w:r>
        <w:rPr>
          <w:rFonts w:hint="eastAsia"/>
        </w:rPr>
        <w:t>（1）达标排放</w:t>
      </w:r>
    </w:p>
    <w:p>
      <w:pPr>
        <w:ind w:firstLine="480"/>
      </w:pPr>
      <w:r>
        <w:rPr>
          <w:rFonts w:hint="eastAsia"/>
        </w:rPr>
        <w:t>本项目为五台山警苑山庄（警苑工作站）建设项目，属于非生产性建设项目，在运营过程中对环境的污染影响是有限的；主要排放污染为废水污染物，项目食堂废水经隔油池后同其他生活污水一同进入化粪池预处理，处理后的</w:t>
      </w:r>
      <w:r>
        <w:rPr>
          <w:rFonts w:hint="eastAsia" w:hAnsi="宋体"/>
        </w:rPr>
        <w:t>废水水质满足《污水排入城镇下水道水质标准》（GB/T31962-2015）中A级标准要求，</w:t>
      </w:r>
      <w:r>
        <w:rPr>
          <w:rFonts w:hint="eastAsia"/>
        </w:rPr>
        <w:t>由污水罐车定期送至五台山杨柏峪污水处理厂。</w:t>
      </w:r>
    </w:p>
    <w:p>
      <w:pPr>
        <w:ind w:firstLine="480"/>
      </w:pPr>
      <w:r>
        <w:rPr>
          <w:rFonts w:hint="eastAsia"/>
        </w:rPr>
        <w:t>（2）总量控制</w:t>
      </w:r>
    </w:p>
    <w:p>
      <w:pPr>
        <w:ind w:firstLine="480"/>
      </w:pPr>
      <w:r>
        <w:rPr>
          <w:rFonts w:hint="eastAsia"/>
        </w:rPr>
        <w:t>本项目使用电采暖，采暖方式采用空气源热泵。食堂废水经隔油池后与生活污水一起排入化粪池预处理，然后由污水罐车定期送至五台山杨柏峪污水处理厂。根据《山西省环保厅建设项目主要污染物排放总量核定办法》（晋环发[2015]25号），本项目不属于环境统计重点工业源调查行业范围内（《国民经济行业分类》（GB/T4754）中采矿业、制造业，电力、燃气及水的生产和供应业，3个门类39个行业）新增主要污染物排放总量的建设项目，故本项目无需申请总量指标。从改善周围环境的要求出发，建设单位应采取相应的环保措施，减少各项污染物的排放。同时，本项目应该积极宣传，加大居民地环保意识，从源头上节水、节材、节能，减少污染物的产生。</w:t>
      </w:r>
    </w:p>
    <w:p>
      <w:pPr>
        <w:pStyle w:val="3"/>
        <w:ind w:firstLine="480"/>
      </w:pPr>
      <w:r>
        <w:rPr>
          <w:rFonts w:hint="eastAsia"/>
        </w:rPr>
        <w:t>7、建筑风格及与景区规划的协调性分析</w:t>
      </w:r>
    </w:p>
    <w:p>
      <w:pPr>
        <w:ind w:firstLine="480"/>
      </w:pPr>
      <w:r>
        <w:rPr>
          <w:rFonts w:hint="eastAsia"/>
        </w:rPr>
        <w:t>本项目的建筑风格与五台山风景区的建设风格相协调，引用了五台山建筑特色元素，保留了其风貌特色，主要为仿古建筑，符合五台山风景名胜区总体规划相关要求。</w:t>
      </w:r>
    </w:p>
    <w:p>
      <w:pPr>
        <w:pStyle w:val="3"/>
        <w:ind w:firstLine="480"/>
      </w:pPr>
      <w:r>
        <w:rPr>
          <w:rFonts w:hint="eastAsia"/>
        </w:rPr>
        <w:t>8、</w:t>
      </w:r>
      <w:r>
        <w:t>分析判定项目</w:t>
      </w:r>
      <w:r>
        <w:rPr>
          <w:rFonts w:hint="eastAsia"/>
        </w:rPr>
        <w:t>建设</w:t>
      </w:r>
      <w:r>
        <w:t>可行性</w:t>
      </w:r>
    </w:p>
    <w:p>
      <w:pPr>
        <w:pStyle w:val="4"/>
        <w:spacing w:line="480" w:lineRule="exact"/>
        <w:ind w:firstLine="480"/>
      </w:pPr>
      <w:r>
        <w:rPr>
          <w:rFonts w:hint="eastAsia"/>
        </w:rPr>
        <w:t>1、</w:t>
      </w:r>
      <w:r>
        <w:t>城乡发展规划</w:t>
      </w:r>
    </w:p>
    <w:p>
      <w:pPr>
        <w:pStyle w:val="4"/>
        <w:spacing w:line="480" w:lineRule="exact"/>
        <w:ind w:firstLine="480"/>
      </w:pPr>
      <w:r>
        <w:rPr>
          <w:rFonts w:hint="eastAsia"/>
        </w:rPr>
        <w:t>本项目为五台山风景名胜区的社会公共事业建设项目，项目已取得山西省住建厅《山西省风景名胜区建设工程选址意见书》（晋建城字[2017]第4号）、五台县国土资源局《项目用地预审意见》（五国土资发[2017]44号），根据五台县国土资源局编制的土地利用总体规划修改方案，本项目占地范围全部为城镇建设用地区中的允许建设区，符合五台县土地利用总体规划，符合五台山风景名胜区总体规划的要求。</w:t>
      </w:r>
    </w:p>
    <w:p>
      <w:pPr>
        <w:pStyle w:val="4"/>
        <w:spacing w:line="480" w:lineRule="exact"/>
        <w:ind w:firstLine="480"/>
      </w:pPr>
      <w:r>
        <w:t>2</w:t>
      </w:r>
      <w:r>
        <w:rPr>
          <w:rFonts w:hint="eastAsia"/>
        </w:rPr>
        <w:t>、</w:t>
      </w:r>
      <w:r>
        <w:t>环境敏感性相符性分析</w:t>
      </w:r>
    </w:p>
    <w:p>
      <w:pPr>
        <w:pStyle w:val="4"/>
        <w:spacing w:line="480" w:lineRule="exact"/>
        <w:ind w:firstLine="480"/>
      </w:pPr>
      <w:r>
        <w:t>根据《建设项目环境环境影响评价分类管理目录》</w:t>
      </w:r>
      <w:r>
        <w:rPr>
          <w:rFonts w:hint="eastAsia"/>
        </w:rPr>
        <w:t>，</w:t>
      </w:r>
      <w:r>
        <w:t>本项目所在地的环境特征</w:t>
      </w:r>
      <w:r>
        <w:rPr>
          <w:rFonts w:hint="eastAsia"/>
        </w:rPr>
        <w:t>涉及“</w:t>
      </w:r>
      <w:r>
        <w:t>风景名胜区</w:t>
      </w:r>
      <w:r>
        <w:rPr>
          <w:rFonts w:hint="eastAsia"/>
        </w:rPr>
        <w:t>”、“</w:t>
      </w:r>
      <w:r>
        <w:t>世界文化和自然遗产地</w:t>
      </w:r>
      <w:r>
        <w:rPr>
          <w:rFonts w:hint="eastAsia"/>
        </w:rPr>
        <w:t>”、“森林公园”、“地质公园”等</w:t>
      </w:r>
      <w:r>
        <w:t>环境敏感区。</w:t>
      </w:r>
      <w:r>
        <w:rPr>
          <w:rFonts w:hint="eastAsia"/>
        </w:rPr>
        <w:t>本项目</w:t>
      </w:r>
      <w:r>
        <w:rPr>
          <w:rFonts w:hint="eastAsia"/>
          <w:bCs/>
        </w:rPr>
        <w:t>属于五台山风景名胜区的社会公共事业建设项目，位于五台山世界自然文化遗产、五台山国家级风景名胜区、五台山国家地质公园、五台山国家森林公园等</w:t>
      </w:r>
      <w:r>
        <w:rPr>
          <w:rFonts w:hint="eastAsia"/>
        </w:rPr>
        <w:t>重要</w:t>
      </w:r>
      <w:r>
        <w:rPr>
          <w:rFonts w:hint="eastAsia"/>
          <w:bCs/>
        </w:rPr>
        <w:t>生态敏感区内，符合上述各类敏感区规划和保护要求。通过生态专题分析，项目的建设不会对敏感区内动植物、生态景观、土地利用等产生影响，</w:t>
      </w:r>
      <w:r>
        <w:rPr>
          <w:rFonts w:hint="eastAsia"/>
        </w:rPr>
        <w:t>项目在严格实施各项生态保护措施的情况下，符合区域环境敏感性和生态保护的要求。</w:t>
      </w:r>
    </w:p>
    <w:p>
      <w:pPr>
        <w:pStyle w:val="4"/>
        <w:spacing w:line="480" w:lineRule="exact"/>
        <w:ind w:firstLine="480"/>
      </w:pPr>
      <w:r>
        <w:rPr>
          <w:rFonts w:hint="eastAsia"/>
        </w:rPr>
        <w:t>3、</w:t>
      </w:r>
      <w:r>
        <w:t>生态保护红线、环境质量底线、资源利用上线符合性分析</w:t>
      </w:r>
    </w:p>
    <w:p>
      <w:pPr>
        <w:pStyle w:val="4"/>
        <w:spacing w:line="480" w:lineRule="exact"/>
        <w:ind w:firstLine="480"/>
      </w:pPr>
      <w:r>
        <w:rPr>
          <w:rFonts w:hint="eastAsia"/>
        </w:rPr>
        <w:t>五台山风景名胜区未制定生态保护红线，本项目位于五台山风景名胜区台怀镇西湾村东南105m处，项目涉及</w:t>
      </w:r>
      <w:r>
        <w:rPr>
          <w:rFonts w:hint="eastAsia"/>
          <w:bCs/>
        </w:rPr>
        <w:t>五台山世界自然文化遗产、五台山国家级风景名胜区、五台山国家地质公园、五台山国家森林公园等</w:t>
      </w:r>
      <w:r>
        <w:rPr>
          <w:rFonts w:hint="eastAsia"/>
        </w:rPr>
        <w:t>重要</w:t>
      </w:r>
      <w:r>
        <w:rPr>
          <w:rFonts w:hint="eastAsia"/>
          <w:bCs/>
        </w:rPr>
        <w:t>生态敏感区</w:t>
      </w:r>
      <w:r>
        <w:rPr>
          <w:rFonts w:hint="eastAsia"/>
        </w:rPr>
        <w:t>，符合以上生态敏感区保护要求，只要项目切实做好各项生态保护措施，本项目不会对生态环境造成影响。</w:t>
      </w:r>
    </w:p>
    <w:p>
      <w:pPr>
        <w:pStyle w:val="4"/>
        <w:spacing w:line="480" w:lineRule="exact"/>
        <w:ind w:firstLine="480"/>
      </w:pPr>
      <w:r>
        <w:rPr>
          <w:rFonts w:hint="eastAsia"/>
        </w:rPr>
        <w:t>根据现场踏勘，建设项目区域环境质量现状良好，本项目在落实了环评提出的各项环保防治措施后，食堂油烟废气经高效处理后达标排放，无废水外排，其他各项污染物均可合理处置</w:t>
      </w:r>
      <w:r>
        <w:rPr>
          <w:rFonts w:hint="eastAsia"/>
          <w:bCs/>
        </w:rPr>
        <w:t>，并</w:t>
      </w:r>
      <w:r>
        <w:rPr>
          <w:rFonts w:hint="eastAsia"/>
        </w:rPr>
        <w:t>通过人工绿化方式进行补偿植被损失，</w:t>
      </w:r>
      <w:r>
        <w:rPr>
          <w:rFonts w:hint="eastAsia"/>
          <w:bCs/>
        </w:rPr>
        <w:t>没有破坏生态系统和物种的多样性，项目区内绿化均为当地常见树种，绿化面积达到4327.3</w:t>
      </w:r>
      <w:r>
        <w:rPr>
          <w:bCs/>
        </w:rPr>
        <w:t>m</w:t>
      </w:r>
      <w:r>
        <w:rPr>
          <w:bCs/>
          <w:vertAlign w:val="superscript"/>
        </w:rPr>
        <w:t>2</w:t>
      </w:r>
      <w:r>
        <w:rPr>
          <w:rFonts w:hint="eastAsia"/>
          <w:bCs/>
        </w:rPr>
        <w:t>，绿化率31.25</w:t>
      </w:r>
      <w:r>
        <w:rPr>
          <w:bCs/>
        </w:rPr>
        <w:t>%</w:t>
      </w:r>
      <w:r>
        <w:rPr>
          <w:rFonts w:hint="eastAsia"/>
          <w:bCs/>
        </w:rPr>
        <w:t>，</w:t>
      </w:r>
      <w:r>
        <w:rPr>
          <w:rFonts w:hint="eastAsia"/>
        </w:rPr>
        <w:t>有利于项目所在区域的水土保持和生态景观。因此本项目</w:t>
      </w:r>
      <w:r>
        <w:t>符合环境质量底线</w:t>
      </w:r>
      <w:r>
        <w:rPr>
          <w:rFonts w:hint="eastAsia"/>
        </w:rPr>
        <w:t>要求</w:t>
      </w:r>
      <w:r>
        <w:t>。</w:t>
      </w:r>
    </w:p>
    <w:p>
      <w:pPr>
        <w:pStyle w:val="4"/>
        <w:spacing w:line="480" w:lineRule="exact"/>
        <w:ind w:firstLine="480"/>
        <w:rPr>
          <w:bCs/>
        </w:rPr>
      </w:pPr>
      <w:r>
        <w:rPr>
          <w:rFonts w:hint="eastAsia"/>
          <w:bCs/>
        </w:rPr>
        <w:t>根据五台县国土资源局编制的土地利用总体规划修改方案，本项目占地为城镇建设用地区中的允许建设区，项目为社会公共事业建设项目，项目能源消耗主要为食堂燃用天然气，以及用水、用电等，</w:t>
      </w:r>
      <w:r>
        <w:rPr>
          <w:rFonts w:hint="eastAsia"/>
          <w:bCs/>
          <w:szCs w:val="20"/>
        </w:rPr>
        <w:t>供水供电由区域供水供电系统供给，年用</w:t>
      </w:r>
      <w:r>
        <w:rPr>
          <w:rFonts w:hint="eastAsia"/>
          <w:bCs/>
        </w:rPr>
        <w:t>水量5623.6t/a、年用电量38.9万度，食堂燃用中低压城市管道天然气，年用天然气量为1500m</w:t>
      </w:r>
      <w:r>
        <w:rPr>
          <w:rFonts w:hint="eastAsia"/>
          <w:bCs/>
          <w:vertAlign w:val="superscript"/>
        </w:rPr>
        <w:t>3</w:t>
      </w:r>
      <w:r>
        <w:rPr>
          <w:rFonts w:hint="eastAsia"/>
          <w:bCs/>
        </w:rPr>
        <w:t>/a</w:t>
      </w:r>
      <w:r>
        <w:rPr>
          <w:bCs/>
        </w:rPr>
        <w:t>。</w:t>
      </w:r>
      <w:r>
        <w:rPr>
          <w:rFonts w:hint="eastAsia"/>
          <w:bCs/>
          <w:szCs w:val="20"/>
        </w:rPr>
        <w:t>因此本项目从土地利用、能源消耗等方面分析</w:t>
      </w:r>
      <w:r>
        <w:rPr>
          <w:bCs/>
          <w:szCs w:val="20"/>
        </w:rPr>
        <w:t>符合资源利用上线要求。</w:t>
      </w:r>
    </w:p>
    <w:p>
      <w:pPr>
        <w:pStyle w:val="4"/>
        <w:spacing w:line="480" w:lineRule="exact"/>
        <w:ind w:firstLine="480"/>
      </w:pPr>
      <w:r>
        <w:rPr>
          <w:rFonts w:hint="eastAsia"/>
        </w:rPr>
        <w:t>4、</w:t>
      </w:r>
      <w:r>
        <w:t>与环境准入负面清单的对照</w:t>
      </w:r>
    </w:p>
    <w:p>
      <w:pPr>
        <w:pStyle w:val="4"/>
        <w:spacing w:line="480" w:lineRule="exact"/>
        <w:ind w:firstLine="480"/>
      </w:pPr>
      <w:r>
        <w:t>本项目所在地没有环境准入负面清单，本次环评对照国家产业政策进行说明。</w:t>
      </w:r>
    </w:p>
    <w:p>
      <w:pPr>
        <w:pStyle w:val="4"/>
        <w:spacing w:line="480" w:lineRule="exact"/>
        <w:ind w:firstLine="480"/>
        <w:rPr>
          <w:bCs/>
        </w:rPr>
      </w:pPr>
      <w:r>
        <w:rPr>
          <w:rFonts w:hint="eastAsia"/>
          <w:bCs/>
        </w:rPr>
        <w:t>根据《产业结构调整指导目录》（2011 年本）（2013 年修正），本项目不属于鼓励类及限制淘汰类，为允许类，该项目已由五台山风景名胜区旅游发展局以台景旅发[2017]76号文件予以核准。因此，本项目符合国家和地方的产业政策要求。</w:t>
      </w:r>
    </w:p>
    <w:p>
      <w:pPr>
        <w:pStyle w:val="4"/>
        <w:spacing w:line="480" w:lineRule="exact"/>
        <w:ind w:firstLine="480"/>
      </w:pPr>
      <w:r>
        <w:t>综上所述，</w:t>
      </w:r>
      <w:r>
        <w:rPr>
          <w:rFonts w:hint="eastAsia" w:ascii="宋体" w:hAnsi="Courier New"/>
          <w:bCs/>
        </w:rPr>
        <w:t>从环保角度，</w:t>
      </w:r>
      <w:r>
        <w:t>本项目选址、建设可行。</w:t>
      </w:r>
    </w:p>
    <w:p>
      <w:pPr>
        <w:pStyle w:val="3"/>
        <w:ind w:firstLine="480"/>
      </w:pPr>
      <w:r>
        <w:rPr>
          <w:rFonts w:hint="eastAsia"/>
        </w:rPr>
        <w:t>9</w:t>
      </w:r>
      <w:r>
        <w:t>、</w:t>
      </w:r>
      <w:r>
        <w:rPr>
          <w:rFonts w:hint="eastAsia"/>
        </w:rPr>
        <w:t>环境保护措施及污染源排放清单</w:t>
      </w:r>
    </w:p>
    <w:p>
      <w:pPr>
        <w:ind w:firstLine="480"/>
      </w:pPr>
      <w:r>
        <w:rPr>
          <w:rFonts w:hint="eastAsia"/>
        </w:rPr>
        <w:t>本项目环境保护措施及污染源排放清单内容见下表15。</w:t>
      </w:r>
    </w:p>
    <w:p>
      <w:pPr>
        <w:pStyle w:val="7"/>
        <w:rPr>
          <w:color w:val="auto"/>
        </w:rPr>
      </w:pPr>
      <w:r>
        <w:rPr>
          <w:rFonts w:hint="eastAsia"/>
          <w:color w:val="auto"/>
        </w:rPr>
        <w:t>表15  项目环境保护措施及污染源排放清单内容</w:t>
      </w:r>
      <w:r>
        <w:rPr>
          <w:color w:val="auto"/>
        </w:rPr>
        <w:t>一览表</w:t>
      </w:r>
    </w:p>
    <w:tbl>
      <w:tblPr>
        <w:tblStyle w:val="49"/>
        <w:tblW w:w="5000" w:type="pct"/>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5"/>
        <w:gridCol w:w="392"/>
        <w:gridCol w:w="764"/>
        <w:gridCol w:w="2496"/>
        <w:gridCol w:w="1277"/>
        <w:gridCol w:w="992"/>
        <w:gridCol w:w="1343"/>
        <w:gridCol w:w="1031"/>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restart"/>
            <w:vAlign w:val="center"/>
          </w:tcPr>
          <w:p>
            <w:pPr>
              <w:keepNext/>
              <w:keepLines/>
              <w:spacing w:line="280" w:lineRule="atLeast"/>
              <w:ind w:firstLine="23" w:firstLineChars="11"/>
              <w:jc w:val="center"/>
              <w:rPr>
                <w:sz w:val="21"/>
                <w:szCs w:val="21"/>
              </w:rPr>
            </w:pPr>
            <w:r>
              <w:rPr>
                <w:sz w:val="21"/>
                <w:szCs w:val="21"/>
              </w:rPr>
              <w:t>分类</w:t>
            </w:r>
          </w:p>
        </w:tc>
        <w:tc>
          <w:tcPr>
            <w:tcW w:w="438" w:type="pct"/>
            <w:vMerge w:val="restart"/>
            <w:vAlign w:val="center"/>
          </w:tcPr>
          <w:p>
            <w:pPr>
              <w:keepNext/>
              <w:keepLines/>
              <w:spacing w:line="280" w:lineRule="atLeast"/>
              <w:ind w:firstLine="23" w:firstLineChars="11"/>
              <w:jc w:val="center"/>
              <w:rPr>
                <w:sz w:val="21"/>
                <w:szCs w:val="21"/>
              </w:rPr>
            </w:pPr>
            <w:r>
              <w:rPr>
                <w:sz w:val="21"/>
                <w:szCs w:val="21"/>
              </w:rPr>
              <w:t>污染物</w:t>
            </w:r>
          </w:p>
        </w:tc>
        <w:tc>
          <w:tcPr>
            <w:tcW w:w="1431" w:type="pct"/>
            <w:vMerge w:val="restart"/>
            <w:vAlign w:val="center"/>
          </w:tcPr>
          <w:p>
            <w:pPr>
              <w:keepNext/>
              <w:keepLines/>
              <w:spacing w:line="280" w:lineRule="atLeast"/>
              <w:ind w:firstLine="23" w:firstLineChars="11"/>
              <w:jc w:val="center"/>
              <w:rPr>
                <w:sz w:val="21"/>
                <w:szCs w:val="21"/>
              </w:rPr>
            </w:pPr>
            <w:r>
              <w:rPr>
                <w:sz w:val="21"/>
                <w:szCs w:val="21"/>
              </w:rPr>
              <w:t>治理措施</w:t>
            </w:r>
          </w:p>
        </w:tc>
        <w:tc>
          <w:tcPr>
            <w:tcW w:w="1300" w:type="pct"/>
            <w:gridSpan w:val="2"/>
            <w:vAlign w:val="center"/>
          </w:tcPr>
          <w:p>
            <w:pPr>
              <w:keepNext/>
              <w:keepLines/>
              <w:spacing w:line="280" w:lineRule="atLeast"/>
              <w:ind w:firstLine="23" w:firstLineChars="11"/>
              <w:jc w:val="center"/>
              <w:rPr>
                <w:sz w:val="21"/>
                <w:szCs w:val="21"/>
              </w:rPr>
            </w:pPr>
            <w:r>
              <w:rPr>
                <w:sz w:val="21"/>
                <w:szCs w:val="21"/>
              </w:rPr>
              <w:t>排放情况</w:t>
            </w:r>
          </w:p>
        </w:tc>
        <w:tc>
          <w:tcPr>
            <w:tcW w:w="1362" w:type="pct"/>
            <w:gridSpan w:val="2"/>
            <w:vMerge w:val="restart"/>
            <w:vAlign w:val="center"/>
          </w:tcPr>
          <w:p>
            <w:pPr>
              <w:keepNext/>
              <w:keepLines/>
              <w:spacing w:line="280" w:lineRule="atLeast"/>
              <w:ind w:firstLine="23" w:firstLineChars="11"/>
              <w:jc w:val="center"/>
              <w:rPr>
                <w:sz w:val="21"/>
                <w:szCs w:val="21"/>
              </w:rPr>
            </w:pPr>
            <w:r>
              <w:rPr>
                <w:sz w:val="21"/>
                <w:szCs w:val="21"/>
              </w:rPr>
              <w:t>执行标准</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continue"/>
            <w:vAlign w:val="center"/>
          </w:tcPr>
          <w:p>
            <w:pPr>
              <w:keepNext/>
              <w:keepLines/>
              <w:spacing w:line="280" w:lineRule="atLeast"/>
              <w:ind w:firstLine="23" w:firstLineChars="11"/>
              <w:jc w:val="center"/>
              <w:rPr>
                <w:sz w:val="21"/>
                <w:szCs w:val="21"/>
              </w:rPr>
            </w:pPr>
          </w:p>
        </w:tc>
        <w:tc>
          <w:tcPr>
            <w:tcW w:w="438" w:type="pct"/>
            <w:vMerge w:val="continue"/>
            <w:vAlign w:val="center"/>
          </w:tcPr>
          <w:p>
            <w:pPr>
              <w:keepNext/>
              <w:keepLines/>
              <w:spacing w:line="280" w:lineRule="atLeast"/>
              <w:ind w:firstLine="23" w:firstLineChars="11"/>
              <w:jc w:val="center"/>
              <w:rPr>
                <w:sz w:val="21"/>
                <w:szCs w:val="21"/>
              </w:rPr>
            </w:pPr>
          </w:p>
        </w:tc>
        <w:tc>
          <w:tcPr>
            <w:tcW w:w="1431" w:type="pct"/>
            <w:vMerge w:val="continue"/>
            <w:vAlign w:val="center"/>
          </w:tcPr>
          <w:p>
            <w:pPr>
              <w:keepNext/>
              <w:keepLines/>
              <w:spacing w:line="280" w:lineRule="atLeast"/>
              <w:ind w:firstLine="23" w:firstLineChars="11"/>
              <w:jc w:val="center"/>
              <w:rPr>
                <w:sz w:val="21"/>
                <w:szCs w:val="21"/>
              </w:rPr>
            </w:pPr>
          </w:p>
        </w:tc>
        <w:tc>
          <w:tcPr>
            <w:tcW w:w="732" w:type="pct"/>
            <w:vAlign w:val="center"/>
          </w:tcPr>
          <w:p>
            <w:pPr>
              <w:keepNext/>
              <w:keepLines/>
              <w:spacing w:line="280" w:lineRule="atLeast"/>
              <w:ind w:firstLine="23" w:firstLineChars="11"/>
              <w:jc w:val="center"/>
              <w:rPr>
                <w:sz w:val="21"/>
                <w:szCs w:val="21"/>
              </w:rPr>
            </w:pPr>
            <w:r>
              <w:rPr>
                <w:sz w:val="21"/>
                <w:szCs w:val="21"/>
              </w:rPr>
              <w:t>排放浓度</w:t>
            </w:r>
          </w:p>
        </w:tc>
        <w:tc>
          <w:tcPr>
            <w:tcW w:w="568" w:type="pct"/>
            <w:vAlign w:val="center"/>
          </w:tcPr>
          <w:p>
            <w:pPr>
              <w:keepNext/>
              <w:keepLines/>
              <w:spacing w:line="280" w:lineRule="atLeast"/>
              <w:ind w:firstLine="23" w:firstLineChars="11"/>
              <w:jc w:val="center"/>
              <w:rPr>
                <w:sz w:val="21"/>
                <w:szCs w:val="21"/>
              </w:rPr>
            </w:pPr>
            <w:r>
              <w:rPr>
                <w:sz w:val="21"/>
                <w:szCs w:val="21"/>
              </w:rPr>
              <w:t>排放量</w:t>
            </w:r>
          </w:p>
        </w:tc>
        <w:tc>
          <w:tcPr>
            <w:tcW w:w="1362" w:type="pct"/>
            <w:gridSpan w:val="2"/>
            <w:vMerge w:val="continue"/>
            <w:vAlign w:val="center"/>
          </w:tcPr>
          <w:p>
            <w:pPr>
              <w:keepNext/>
              <w:keepLines/>
              <w:spacing w:line="280" w:lineRule="atLeast"/>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Align w:val="center"/>
          </w:tcPr>
          <w:p>
            <w:pPr>
              <w:keepNext/>
              <w:keepLines/>
              <w:spacing w:line="280" w:lineRule="atLeast"/>
              <w:ind w:firstLine="23" w:firstLineChars="11"/>
              <w:jc w:val="center"/>
              <w:rPr>
                <w:sz w:val="21"/>
                <w:szCs w:val="21"/>
              </w:rPr>
            </w:pPr>
            <w:r>
              <w:rPr>
                <w:sz w:val="21"/>
                <w:szCs w:val="21"/>
              </w:rPr>
              <w:t>废气</w:t>
            </w:r>
          </w:p>
        </w:tc>
        <w:tc>
          <w:tcPr>
            <w:tcW w:w="225" w:type="pct"/>
            <w:vAlign w:val="center"/>
          </w:tcPr>
          <w:p>
            <w:pPr>
              <w:keepNext/>
              <w:keepLines/>
              <w:spacing w:line="280" w:lineRule="atLeast"/>
              <w:ind w:firstLine="23" w:firstLineChars="11"/>
              <w:jc w:val="center"/>
              <w:rPr>
                <w:sz w:val="21"/>
                <w:szCs w:val="21"/>
              </w:rPr>
            </w:pPr>
            <w:r>
              <w:rPr>
                <w:sz w:val="21"/>
                <w:szCs w:val="21"/>
              </w:rPr>
              <w:t>食堂</w:t>
            </w:r>
          </w:p>
        </w:tc>
        <w:tc>
          <w:tcPr>
            <w:tcW w:w="438" w:type="pct"/>
            <w:vAlign w:val="center"/>
          </w:tcPr>
          <w:p>
            <w:pPr>
              <w:keepNext/>
              <w:keepLines/>
              <w:spacing w:line="280" w:lineRule="atLeast"/>
              <w:ind w:firstLine="23" w:firstLineChars="11"/>
              <w:jc w:val="center"/>
              <w:rPr>
                <w:sz w:val="21"/>
                <w:szCs w:val="21"/>
              </w:rPr>
            </w:pPr>
            <w:r>
              <w:rPr>
                <w:sz w:val="21"/>
                <w:szCs w:val="21"/>
              </w:rPr>
              <w:t>油烟废气</w:t>
            </w:r>
          </w:p>
        </w:tc>
        <w:tc>
          <w:tcPr>
            <w:tcW w:w="1431" w:type="pct"/>
            <w:vAlign w:val="center"/>
          </w:tcPr>
          <w:p>
            <w:pPr>
              <w:keepNext/>
              <w:keepLines/>
              <w:spacing w:line="280" w:lineRule="atLeast"/>
              <w:ind w:firstLine="23" w:firstLineChars="11"/>
              <w:jc w:val="center"/>
              <w:rPr>
                <w:sz w:val="21"/>
                <w:szCs w:val="21"/>
              </w:rPr>
            </w:pPr>
            <w:r>
              <w:rPr>
                <w:sz w:val="21"/>
                <w:szCs w:val="21"/>
              </w:rPr>
              <w:t>在食堂灶台上方设置集气罩，油烟集气罩投影面积应大于灶台面，设一套高效复合油烟净化器，处理风量约为4000m</w:t>
            </w:r>
            <w:r>
              <w:rPr>
                <w:sz w:val="21"/>
                <w:szCs w:val="21"/>
                <w:vertAlign w:val="superscript"/>
              </w:rPr>
              <w:t>3</w:t>
            </w:r>
            <w:r>
              <w:rPr>
                <w:sz w:val="21"/>
                <w:szCs w:val="21"/>
              </w:rPr>
              <w:t>/h，处理效率达到80%</w:t>
            </w:r>
          </w:p>
        </w:tc>
        <w:tc>
          <w:tcPr>
            <w:tcW w:w="732" w:type="pct"/>
            <w:vAlign w:val="center"/>
          </w:tcPr>
          <w:p>
            <w:pPr>
              <w:keepNext/>
              <w:keepLines/>
              <w:spacing w:line="280" w:lineRule="atLeast"/>
              <w:ind w:firstLine="23" w:firstLineChars="11"/>
              <w:jc w:val="center"/>
              <w:rPr>
                <w:sz w:val="21"/>
                <w:szCs w:val="21"/>
              </w:rPr>
            </w:pPr>
            <w:r>
              <w:rPr>
                <w:sz w:val="21"/>
                <w:szCs w:val="21"/>
              </w:rPr>
              <w:t>1.8mg/m</w:t>
            </w:r>
            <w:r>
              <w:rPr>
                <w:sz w:val="21"/>
                <w:szCs w:val="21"/>
                <w:vertAlign w:val="superscript"/>
              </w:rPr>
              <w:t>3</w:t>
            </w:r>
          </w:p>
        </w:tc>
        <w:tc>
          <w:tcPr>
            <w:tcW w:w="568" w:type="pct"/>
            <w:vAlign w:val="center"/>
          </w:tcPr>
          <w:p>
            <w:pPr>
              <w:keepNext/>
              <w:keepLines/>
              <w:spacing w:line="280" w:lineRule="atLeast"/>
              <w:ind w:firstLine="23" w:firstLineChars="11"/>
              <w:jc w:val="center"/>
              <w:rPr>
                <w:sz w:val="21"/>
                <w:szCs w:val="21"/>
              </w:rPr>
            </w:pPr>
            <w:r>
              <w:rPr>
                <w:sz w:val="21"/>
                <w:szCs w:val="21"/>
              </w:rPr>
              <w:t>7.88kg/a</w:t>
            </w:r>
          </w:p>
        </w:tc>
        <w:tc>
          <w:tcPr>
            <w:tcW w:w="770" w:type="pct"/>
            <w:vAlign w:val="center"/>
          </w:tcPr>
          <w:p>
            <w:pPr>
              <w:keepNext/>
              <w:keepLines/>
              <w:spacing w:line="280" w:lineRule="atLeast"/>
              <w:ind w:firstLine="23" w:firstLineChars="11"/>
              <w:jc w:val="center"/>
              <w:rPr>
                <w:sz w:val="21"/>
                <w:szCs w:val="21"/>
              </w:rPr>
            </w:pPr>
            <w:r>
              <w:rPr>
                <w:sz w:val="21"/>
                <w:szCs w:val="21"/>
              </w:rPr>
              <w:t>《饮食业油烟排放标准（试行）》（GB18483-2001）</w:t>
            </w:r>
          </w:p>
        </w:tc>
        <w:tc>
          <w:tcPr>
            <w:tcW w:w="592" w:type="pct"/>
            <w:vAlign w:val="center"/>
          </w:tcPr>
          <w:p>
            <w:pPr>
              <w:keepNext/>
              <w:keepLines/>
              <w:spacing w:line="280" w:lineRule="atLeast"/>
              <w:ind w:firstLine="23" w:firstLineChars="11"/>
              <w:jc w:val="center"/>
              <w:rPr>
                <w:sz w:val="21"/>
                <w:szCs w:val="21"/>
              </w:rPr>
            </w:pPr>
            <w:r>
              <w:rPr>
                <w:sz w:val="21"/>
                <w:szCs w:val="21"/>
              </w:rPr>
              <w:t>最高允许排放浓度2.0mg/m</w:t>
            </w:r>
            <w:r>
              <w:rPr>
                <w:sz w:val="21"/>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restart"/>
            <w:vAlign w:val="center"/>
          </w:tcPr>
          <w:p>
            <w:pPr>
              <w:keepNext/>
              <w:keepLines/>
              <w:spacing w:line="280" w:lineRule="atLeast"/>
              <w:ind w:firstLine="23" w:firstLineChars="11"/>
              <w:jc w:val="center"/>
              <w:rPr>
                <w:sz w:val="21"/>
                <w:szCs w:val="21"/>
              </w:rPr>
            </w:pPr>
            <w:r>
              <w:rPr>
                <w:sz w:val="21"/>
                <w:szCs w:val="21"/>
              </w:rPr>
              <w:t>废水</w:t>
            </w:r>
          </w:p>
        </w:tc>
        <w:tc>
          <w:tcPr>
            <w:tcW w:w="225" w:type="pct"/>
            <w:vMerge w:val="restart"/>
            <w:vAlign w:val="center"/>
          </w:tcPr>
          <w:p>
            <w:pPr>
              <w:keepNext/>
              <w:keepLines/>
              <w:spacing w:line="280" w:lineRule="atLeast"/>
              <w:ind w:firstLine="23" w:firstLineChars="11"/>
              <w:jc w:val="center"/>
              <w:rPr>
                <w:sz w:val="21"/>
                <w:szCs w:val="21"/>
              </w:rPr>
            </w:pPr>
            <w:r>
              <w:rPr>
                <w:sz w:val="21"/>
                <w:szCs w:val="21"/>
              </w:rPr>
              <w:t>生活污水</w:t>
            </w:r>
          </w:p>
        </w:tc>
        <w:tc>
          <w:tcPr>
            <w:tcW w:w="438" w:type="pct"/>
            <w:vAlign w:val="center"/>
          </w:tcPr>
          <w:p>
            <w:pPr>
              <w:keepNext/>
              <w:keepLines/>
              <w:spacing w:line="280" w:lineRule="atLeast"/>
              <w:ind w:firstLine="23" w:firstLineChars="11"/>
              <w:jc w:val="center"/>
              <w:textAlignment w:val="baseline"/>
              <w:rPr>
                <w:sz w:val="21"/>
                <w:szCs w:val="21"/>
              </w:rPr>
            </w:pPr>
            <w:r>
              <w:rPr>
                <w:sz w:val="21"/>
                <w:szCs w:val="21"/>
              </w:rPr>
              <w:t>COD</w:t>
            </w:r>
          </w:p>
        </w:tc>
        <w:tc>
          <w:tcPr>
            <w:tcW w:w="1431" w:type="pct"/>
            <w:vMerge w:val="restart"/>
            <w:vAlign w:val="center"/>
          </w:tcPr>
          <w:p>
            <w:pPr>
              <w:keepNext/>
              <w:keepLines/>
              <w:spacing w:line="280" w:lineRule="atLeast"/>
              <w:ind w:firstLine="23" w:firstLineChars="11"/>
              <w:jc w:val="center"/>
              <w:rPr>
                <w:sz w:val="21"/>
                <w:szCs w:val="21"/>
              </w:rPr>
            </w:pPr>
            <w:r>
              <w:rPr>
                <w:position w:val="0"/>
                <w:sz w:val="21"/>
                <w:szCs w:val="21"/>
              </w:rPr>
              <w:t>食堂废水经隔油池（</w:t>
            </w:r>
            <w:r>
              <w:rPr>
                <w:rFonts w:hint="eastAsia"/>
                <w:position w:val="0"/>
                <w:sz w:val="21"/>
                <w:szCs w:val="21"/>
              </w:rPr>
              <w:t>1</w:t>
            </w:r>
            <w:r>
              <w:rPr>
                <w:position w:val="0"/>
                <w:sz w:val="21"/>
                <w:szCs w:val="21"/>
              </w:rPr>
              <w:t>m</w:t>
            </w:r>
            <w:r>
              <w:rPr>
                <w:position w:val="0"/>
                <w:sz w:val="21"/>
                <w:szCs w:val="21"/>
                <w:vertAlign w:val="superscript"/>
              </w:rPr>
              <w:t>3</w:t>
            </w:r>
            <w:r>
              <w:rPr>
                <w:position w:val="0"/>
                <w:sz w:val="21"/>
                <w:szCs w:val="21"/>
              </w:rPr>
              <w:t>）隔油后与生活污水一起排入化粪池（200m</w:t>
            </w:r>
            <w:r>
              <w:rPr>
                <w:position w:val="0"/>
                <w:sz w:val="21"/>
                <w:szCs w:val="21"/>
                <w:vertAlign w:val="superscript"/>
              </w:rPr>
              <w:t>3</w:t>
            </w:r>
            <w:r>
              <w:rPr>
                <w:position w:val="0"/>
                <w:sz w:val="21"/>
                <w:szCs w:val="21"/>
              </w:rPr>
              <w:t>）预处理，然后由污水罐车定期送至五台山杨柏峪污水处理厂</w:t>
            </w:r>
          </w:p>
        </w:tc>
        <w:tc>
          <w:tcPr>
            <w:tcW w:w="732" w:type="pct"/>
            <w:vAlign w:val="center"/>
          </w:tcPr>
          <w:p>
            <w:pPr>
              <w:keepNext/>
              <w:keepLines/>
              <w:spacing w:line="280" w:lineRule="atLeast"/>
              <w:ind w:firstLine="23" w:firstLineChars="11"/>
              <w:jc w:val="center"/>
              <w:rPr>
                <w:sz w:val="21"/>
                <w:szCs w:val="21"/>
              </w:rPr>
            </w:pPr>
            <w:r>
              <w:rPr>
                <w:sz w:val="21"/>
                <w:szCs w:val="21"/>
              </w:rPr>
              <w:t>297.18mg/L</w:t>
            </w:r>
          </w:p>
        </w:tc>
        <w:tc>
          <w:tcPr>
            <w:tcW w:w="568" w:type="pct"/>
            <w:vAlign w:val="center"/>
          </w:tcPr>
          <w:p>
            <w:pPr>
              <w:keepNext/>
              <w:keepLines/>
              <w:spacing w:line="280" w:lineRule="atLeast"/>
              <w:ind w:firstLine="23" w:firstLineChars="11"/>
              <w:jc w:val="center"/>
              <w:rPr>
                <w:sz w:val="21"/>
                <w:szCs w:val="21"/>
              </w:rPr>
            </w:pPr>
            <w:r>
              <w:rPr>
                <w:sz w:val="21"/>
                <w:szCs w:val="21"/>
              </w:rPr>
              <w:t>1.05t/a</w:t>
            </w:r>
          </w:p>
        </w:tc>
        <w:tc>
          <w:tcPr>
            <w:tcW w:w="770" w:type="pct"/>
            <w:vMerge w:val="restart"/>
            <w:vAlign w:val="center"/>
          </w:tcPr>
          <w:p>
            <w:pPr>
              <w:keepNext/>
              <w:keepLines/>
              <w:spacing w:line="280" w:lineRule="atLeast"/>
              <w:ind w:firstLine="23" w:firstLineChars="11"/>
              <w:jc w:val="center"/>
              <w:rPr>
                <w:sz w:val="21"/>
                <w:szCs w:val="21"/>
              </w:rPr>
            </w:pPr>
            <w:r>
              <w:rPr>
                <w:sz w:val="21"/>
                <w:szCs w:val="21"/>
              </w:rPr>
              <w:t>《污水排入城镇下水道水质标准》（GB/T31962-2015）中A级标准</w:t>
            </w:r>
          </w:p>
        </w:tc>
        <w:tc>
          <w:tcPr>
            <w:tcW w:w="592" w:type="pct"/>
            <w:vAlign w:val="center"/>
          </w:tcPr>
          <w:p>
            <w:pPr>
              <w:keepNext/>
              <w:keepLines/>
              <w:spacing w:line="280" w:lineRule="atLeast"/>
              <w:ind w:firstLine="23" w:firstLineChars="11"/>
              <w:jc w:val="center"/>
              <w:rPr>
                <w:sz w:val="21"/>
                <w:szCs w:val="21"/>
              </w:rPr>
            </w:pPr>
            <w:r>
              <w:rPr>
                <w:sz w:val="21"/>
                <w:szCs w:val="21"/>
              </w:rPr>
              <w:t>500mg/L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sz w:val="21"/>
                <w:szCs w:val="21"/>
              </w:rPr>
            </w:pPr>
          </w:p>
        </w:tc>
        <w:tc>
          <w:tcPr>
            <w:tcW w:w="225" w:type="pct"/>
            <w:vMerge w:val="continue"/>
            <w:vAlign w:val="center"/>
          </w:tcPr>
          <w:p>
            <w:pPr>
              <w:keepNext/>
              <w:keepLines/>
              <w:spacing w:line="280" w:lineRule="atLeast"/>
              <w:ind w:firstLine="23" w:firstLineChars="11"/>
              <w:jc w:val="center"/>
              <w:rPr>
                <w:sz w:val="21"/>
                <w:szCs w:val="21"/>
              </w:rPr>
            </w:pPr>
          </w:p>
        </w:tc>
        <w:tc>
          <w:tcPr>
            <w:tcW w:w="438" w:type="pct"/>
            <w:vAlign w:val="center"/>
          </w:tcPr>
          <w:p>
            <w:pPr>
              <w:keepNext/>
              <w:keepLines/>
              <w:spacing w:line="280" w:lineRule="atLeast"/>
              <w:ind w:firstLine="23" w:firstLineChars="11"/>
              <w:jc w:val="center"/>
              <w:textAlignment w:val="baseline"/>
              <w:rPr>
                <w:sz w:val="21"/>
                <w:szCs w:val="21"/>
              </w:rPr>
            </w:pPr>
            <w:r>
              <w:rPr>
                <w:sz w:val="21"/>
                <w:szCs w:val="21"/>
              </w:rPr>
              <w:t>BOD</w:t>
            </w:r>
            <w:r>
              <w:rPr>
                <w:sz w:val="21"/>
                <w:szCs w:val="21"/>
                <w:vertAlign w:val="subscript"/>
              </w:rPr>
              <w:t>5</w:t>
            </w:r>
          </w:p>
        </w:tc>
        <w:tc>
          <w:tcPr>
            <w:tcW w:w="1431" w:type="pct"/>
            <w:vMerge w:val="continue"/>
            <w:vAlign w:val="center"/>
          </w:tcPr>
          <w:p>
            <w:pPr>
              <w:keepNext/>
              <w:keepLines/>
              <w:spacing w:line="280" w:lineRule="atLeast"/>
              <w:ind w:firstLine="23" w:firstLineChars="11"/>
              <w:jc w:val="center"/>
              <w:rPr>
                <w:sz w:val="21"/>
                <w:szCs w:val="21"/>
              </w:rPr>
            </w:pPr>
          </w:p>
        </w:tc>
        <w:tc>
          <w:tcPr>
            <w:tcW w:w="732" w:type="pct"/>
            <w:vAlign w:val="center"/>
          </w:tcPr>
          <w:p>
            <w:pPr>
              <w:keepNext/>
              <w:keepLines/>
              <w:spacing w:line="280" w:lineRule="atLeast"/>
              <w:ind w:firstLine="23" w:firstLineChars="11"/>
              <w:jc w:val="center"/>
              <w:rPr>
                <w:sz w:val="21"/>
                <w:szCs w:val="21"/>
              </w:rPr>
            </w:pPr>
            <w:r>
              <w:rPr>
                <w:sz w:val="21"/>
                <w:szCs w:val="21"/>
              </w:rPr>
              <w:t>183.97mg/L</w:t>
            </w:r>
          </w:p>
        </w:tc>
        <w:tc>
          <w:tcPr>
            <w:tcW w:w="568" w:type="pct"/>
            <w:vAlign w:val="center"/>
          </w:tcPr>
          <w:p>
            <w:pPr>
              <w:keepNext/>
              <w:keepLines/>
              <w:spacing w:line="280" w:lineRule="atLeast"/>
              <w:ind w:firstLine="23" w:firstLineChars="11"/>
              <w:jc w:val="center"/>
              <w:rPr>
                <w:sz w:val="21"/>
                <w:szCs w:val="21"/>
              </w:rPr>
            </w:pPr>
            <w:r>
              <w:rPr>
                <w:sz w:val="21"/>
                <w:szCs w:val="21"/>
              </w:rPr>
              <w:t>0.65t/a</w:t>
            </w:r>
          </w:p>
        </w:tc>
        <w:tc>
          <w:tcPr>
            <w:tcW w:w="770" w:type="pct"/>
            <w:vMerge w:val="continue"/>
            <w:vAlign w:val="center"/>
          </w:tcPr>
          <w:p>
            <w:pPr>
              <w:keepNext/>
              <w:keepLines/>
              <w:spacing w:line="280" w:lineRule="atLeast"/>
              <w:ind w:firstLine="23" w:firstLineChars="11"/>
              <w:jc w:val="center"/>
              <w:rPr>
                <w:sz w:val="21"/>
                <w:szCs w:val="21"/>
              </w:rPr>
            </w:pPr>
          </w:p>
        </w:tc>
        <w:tc>
          <w:tcPr>
            <w:tcW w:w="592" w:type="pct"/>
            <w:vAlign w:val="center"/>
          </w:tcPr>
          <w:p>
            <w:pPr>
              <w:keepNext/>
              <w:keepLines/>
              <w:spacing w:line="280" w:lineRule="atLeast"/>
              <w:ind w:firstLine="23" w:firstLineChars="11"/>
              <w:jc w:val="center"/>
              <w:rPr>
                <w:sz w:val="21"/>
                <w:szCs w:val="21"/>
              </w:rPr>
            </w:pPr>
            <w:r>
              <w:rPr>
                <w:sz w:val="21"/>
                <w:szCs w:val="21"/>
              </w:rPr>
              <w:t>350mg/L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sz w:val="21"/>
                <w:szCs w:val="21"/>
              </w:rPr>
            </w:pPr>
          </w:p>
        </w:tc>
        <w:tc>
          <w:tcPr>
            <w:tcW w:w="225" w:type="pct"/>
            <w:vMerge w:val="continue"/>
            <w:vAlign w:val="center"/>
          </w:tcPr>
          <w:p>
            <w:pPr>
              <w:keepNext/>
              <w:keepLines/>
              <w:spacing w:line="280" w:lineRule="atLeast"/>
              <w:ind w:firstLine="23" w:firstLineChars="11"/>
              <w:jc w:val="center"/>
              <w:rPr>
                <w:sz w:val="21"/>
                <w:szCs w:val="21"/>
              </w:rPr>
            </w:pPr>
          </w:p>
        </w:tc>
        <w:tc>
          <w:tcPr>
            <w:tcW w:w="438" w:type="pct"/>
            <w:vAlign w:val="center"/>
          </w:tcPr>
          <w:p>
            <w:pPr>
              <w:keepNext/>
              <w:keepLines/>
              <w:spacing w:line="280" w:lineRule="atLeast"/>
              <w:ind w:firstLine="23" w:firstLineChars="11"/>
              <w:jc w:val="center"/>
              <w:textAlignment w:val="baseline"/>
              <w:rPr>
                <w:sz w:val="21"/>
                <w:szCs w:val="21"/>
              </w:rPr>
            </w:pPr>
            <w:r>
              <w:rPr>
                <w:sz w:val="21"/>
                <w:szCs w:val="21"/>
              </w:rPr>
              <w:t>SS</w:t>
            </w:r>
          </w:p>
        </w:tc>
        <w:tc>
          <w:tcPr>
            <w:tcW w:w="1431" w:type="pct"/>
            <w:vMerge w:val="continue"/>
            <w:vAlign w:val="center"/>
          </w:tcPr>
          <w:p>
            <w:pPr>
              <w:keepNext/>
              <w:keepLines/>
              <w:spacing w:line="280" w:lineRule="atLeast"/>
              <w:ind w:firstLine="23" w:firstLineChars="11"/>
              <w:jc w:val="center"/>
              <w:rPr>
                <w:sz w:val="21"/>
                <w:szCs w:val="21"/>
              </w:rPr>
            </w:pPr>
          </w:p>
        </w:tc>
        <w:tc>
          <w:tcPr>
            <w:tcW w:w="732" w:type="pct"/>
            <w:vAlign w:val="center"/>
          </w:tcPr>
          <w:p>
            <w:pPr>
              <w:keepNext/>
              <w:keepLines/>
              <w:spacing w:line="280" w:lineRule="atLeast"/>
              <w:ind w:firstLine="23" w:firstLineChars="11"/>
              <w:jc w:val="center"/>
              <w:rPr>
                <w:sz w:val="21"/>
                <w:szCs w:val="21"/>
              </w:rPr>
            </w:pPr>
            <w:r>
              <w:rPr>
                <w:sz w:val="21"/>
                <w:szCs w:val="21"/>
              </w:rPr>
              <w:t>246.24mg/L</w:t>
            </w:r>
          </w:p>
        </w:tc>
        <w:tc>
          <w:tcPr>
            <w:tcW w:w="568" w:type="pct"/>
            <w:vAlign w:val="center"/>
          </w:tcPr>
          <w:p>
            <w:pPr>
              <w:keepNext/>
              <w:keepLines/>
              <w:spacing w:line="280" w:lineRule="atLeast"/>
              <w:ind w:firstLine="23" w:firstLineChars="11"/>
              <w:jc w:val="center"/>
              <w:rPr>
                <w:sz w:val="21"/>
                <w:szCs w:val="21"/>
              </w:rPr>
            </w:pPr>
            <w:r>
              <w:rPr>
                <w:sz w:val="21"/>
                <w:szCs w:val="21"/>
              </w:rPr>
              <w:t>0.87t/a</w:t>
            </w:r>
          </w:p>
        </w:tc>
        <w:tc>
          <w:tcPr>
            <w:tcW w:w="770" w:type="pct"/>
            <w:vMerge w:val="continue"/>
            <w:vAlign w:val="center"/>
          </w:tcPr>
          <w:p>
            <w:pPr>
              <w:keepNext/>
              <w:keepLines/>
              <w:spacing w:line="280" w:lineRule="atLeast"/>
              <w:ind w:firstLine="23" w:firstLineChars="11"/>
              <w:jc w:val="center"/>
              <w:rPr>
                <w:sz w:val="21"/>
                <w:szCs w:val="21"/>
              </w:rPr>
            </w:pPr>
          </w:p>
        </w:tc>
        <w:tc>
          <w:tcPr>
            <w:tcW w:w="592" w:type="pct"/>
            <w:vAlign w:val="center"/>
          </w:tcPr>
          <w:p>
            <w:pPr>
              <w:keepNext/>
              <w:keepLines/>
              <w:spacing w:line="280" w:lineRule="atLeast"/>
              <w:ind w:firstLine="23" w:firstLineChars="11"/>
              <w:jc w:val="center"/>
              <w:rPr>
                <w:sz w:val="21"/>
                <w:szCs w:val="21"/>
              </w:rPr>
            </w:pPr>
            <w:r>
              <w:rPr>
                <w:sz w:val="21"/>
                <w:szCs w:val="21"/>
              </w:rPr>
              <w:t>400mg/L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sz w:val="21"/>
                <w:szCs w:val="21"/>
              </w:rPr>
            </w:pPr>
          </w:p>
        </w:tc>
        <w:tc>
          <w:tcPr>
            <w:tcW w:w="225" w:type="pct"/>
            <w:vMerge w:val="continue"/>
            <w:vAlign w:val="center"/>
          </w:tcPr>
          <w:p>
            <w:pPr>
              <w:keepNext/>
              <w:keepLines/>
              <w:spacing w:line="280" w:lineRule="atLeast"/>
              <w:ind w:firstLine="23" w:firstLineChars="11"/>
              <w:jc w:val="center"/>
              <w:rPr>
                <w:sz w:val="21"/>
                <w:szCs w:val="21"/>
              </w:rPr>
            </w:pPr>
          </w:p>
        </w:tc>
        <w:tc>
          <w:tcPr>
            <w:tcW w:w="438" w:type="pct"/>
            <w:vAlign w:val="center"/>
          </w:tcPr>
          <w:p>
            <w:pPr>
              <w:keepNext/>
              <w:keepLines/>
              <w:spacing w:line="280" w:lineRule="atLeast"/>
              <w:ind w:firstLine="23" w:firstLineChars="11"/>
              <w:jc w:val="center"/>
              <w:textAlignment w:val="baseline"/>
              <w:rPr>
                <w:sz w:val="21"/>
                <w:szCs w:val="21"/>
                <w:vertAlign w:val="subscript"/>
              </w:rPr>
            </w:pPr>
            <w:r>
              <w:rPr>
                <w:sz w:val="21"/>
                <w:szCs w:val="21"/>
              </w:rPr>
              <w:t>氨氮</w:t>
            </w:r>
          </w:p>
        </w:tc>
        <w:tc>
          <w:tcPr>
            <w:tcW w:w="1431" w:type="pct"/>
            <w:vMerge w:val="continue"/>
            <w:vAlign w:val="center"/>
          </w:tcPr>
          <w:p>
            <w:pPr>
              <w:keepNext/>
              <w:keepLines/>
              <w:spacing w:line="280" w:lineRule="atLeast"/>
              <w:ind w:firstLine="23" w:firstLineChars="11"/>
              <w:jc w:val="center"/>
              <w:rPr>
                <w:sz w:val="21"/>
                <w:szCs w:val="21"/>
              </w:rPr>
            </w:pPr>
          </w:p>
        </w:tc>
        <w:tc>
          <w:tcPr>
            <w:tcW w:w="732" w:type="pct"/>
            <w:vAlign w:val="center"/>
          </w:tcPr>
          <w:p>
            <w:pPr>
              <w:keepNext/>
              <w:keepLines/>
              <w:spacing w:line="280" w:lineRule="atLeast"/>
              <w:ind w:firstLine="23" w:firstLineChars="11"/>
              <w:jc w:val="center"/>
              <w:rPr>
                <w:sz w:val="21"/>
                <w:szCs w:val="21"/>
              </w:rPr>
            </w:pPr>
            <w:r>
              <w:rPr>
                <w:sz w:val="21"/>
                <w:szCs w:val="21"/>
              </w:rPr>
              <w:t>42.45mg/L</w:t>
            </w:r>
          </w:p>
        </w:tc>
        <w:tc>
          <w:tcPr>
            <w:tcW w:w="568" w:type="pct"/>
            <w:vAlign w:val="center"/>
          </w:tcPr>
          <w:p>
            <w:pPr>
              <w:keepNext/>
              <w:keepLines/>
              <w:spacing w:line="280" w:lineRule="atLeast"/>
              <w:ind w:firstLine="23" w:firstLineChars="11"/>
              <w:jc w:val="center"/>
              <w:rPr>
                <w:sz w:val="21"/>
                <w:szCs w:val="21"/>
              </w:rPr>
            </w:pPr>
            <w:r>
              <w:rPr>
                <w:sz w:val="21"/>
                <w:szCs w:val="21"/>
              </w:rPr>
              <w:t>0.15t/a</w:t>
            </w:r>
          </w:p>
        </w:tc>
        <w:tc>
          <w:tcPr>
            <w:tcW w:w="770" w:type="pct"/>
            <w:vMerge w:val="continue"/>
            <w:vAlign w:val="center"/>
          </w:tcPr>
          <w:p>
            <w:pPr>
              <w:keepNext/>
              <w:keepLines/>
              <w:spacing w:line="280" w:lineRule="atLeast"/>
              <w:ind w:firstLine="23" w:firstLineChars="11"/>
              <w:jc w:val="center"/>
              <w:rPr>
                <w:sz w:val="21"/>
                <w:szCs w:val="21"/>
              </w:rPr>
            </w:pPr>
          </w:p>
        </w:tc>
        <w:tc>
          <w:tcPr>
            <w:tcW w:w="592" w:type="pct"/>
            <w:vAlign w:val="center"/>
          </w:tcPr>
          <w:p>
            <w:pPr>
              <w:keepNext/>
              <w:keepLines/>
              <w:spacing w:line="280" w:lineRule="atLeast"/>
              <w:ind w:firstLine="23" w:firstLineChars="11"/>
              <w:jc w:val="center"/>
              <w:rPr>
                <w:sz w:val="21"/>
                <w:szCs w:val="21"/>
              </w:rPr>
            </w:pPr>
            <w:r>
              <w:rPr>
                <w:sz w:val="21"/>
                <w:szCs w:val="21"/>
              </w:rPr>
              <w:t>45mg/L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restart"/>
            <w:vAlign w:val="center"/>
          </w:tcPr>
          <w:p>
            <w:pPr>
              <w:keepNext/>
              <w:keepLines/>
              <w:spacing w:line="280" w:lineRule="atLeast"/>
              <w:ind w:firstLine="23" w:firstLineChars="11"/>
              <w:jc w:val="center"/>
              <w:rPr>
                <w:sz w:val="21"/>
                <w:szCs w:val="21"/>
              </w:rPr>
            </w:pPr>
            <w:r>
              <w:rPr>
                <w:sz w:val="21"/>
                <w:szCs w:val="21"/>
              </w:rPr>
              <w:t>噪声</w:t>
            </w:r>
          </w:p>
        </w:tc>
        <w:tc>
          <w:tcPr>
            <w:tcW w:w="225" w:type="pct"/>
            <w:vAlign w:val="center"/>
          </w:tcPr>
          <w:p>
            <w:pPr>
              <w:keepNext/>
              <w:keepLines/>
              <w:spacing w:line="280" w:lineRule="atLeast"/>
              <w:ind w:firstLine="23" w:firstLineChars="11"/>
              <w:jc w:val="center"/>
              <w:rPr>
                <w:sz w:val="21"/>
                <w:szCs w:val="21"/>
              </w:rPr>
            </w:pPr>
            <w:r>
              <w:rPr>
                <w:sz w:val="21"/>
                <w:szCs w:val="21"/>
              </w:rPr>
              <w:t>自身噪声</w:t>
            </w:r>
          </w:p>
        </w:tc>
        <w:tc>
          <w:tcPr>
            <w:tcW w:w="438" w:type="pct"/>
            <w:vAlign w:val="center"/>
          </w:tcPr>
          <w:p>
            <w:pPr>
              <w:keepNext/>
              <w:keepLines/>
              <w:spacing w:line="280" w:lineRule="atLeast"/>
              <w:ind w:firstLine="23" w:firstLineChars="11"/>
              <w:jc w:val="center"/>
              <w:rPr>
                <w:sz w:val="21"/>
                <w:szCs w:val="21"/>
              </w:rPr>
            </w:pPr>
            <w:r>
              <w:rPr>
                <w:rFonts w:hint="eastAsia"/>
                <w:sz w:val="21"/>
                <w:szCs w:val="21"/>
              </w:rPr>
              <w:t>连续性噪声</w:t>
            </w:r>
          </w:p>
        </w:tc>
        <w:tc>
          <w:tcPr>
            <w:tcW w:w="2732" w:type="pct"/>
            <w:gridSpan w:val="3"/>
            <w:vAlign w:val="center"/>
          </w:tcPr>
          <w:p>
            <w:pPr>
              <w:keepNext/>
              <w:keepLines/>
              <w:spacing w:line="280" w:lineRule="atLeast"/>
              <w:ind w:firstLine="23" w:firstLineChars="11"/>
              <w:jc w:val="center"/>
              <w:rPr>
                <w:sz w:val="21"/>
                <w:szCs w:val="21"/>
              </w:rPr>
            </w:pPr>
            <w:r>
              <w:rPr>
                <w:sz w:val="21"/>
                <w:szCs w:val="21"/>
              </w:rPr>
              <w:t>对于食堂油烟风机、洗衣设备、泵类等设备选择</w:t>
            </w:r>
            <w:r>
              <w:rPr>
                <w:rFonts w:hint="eastAsia"/>
                <w:sz w:val="21"/>
                <w:szCs w:val="21"/>
              </w:rPr>
              <w:t>了</w:t>
            </w:r>
            <w:r>
              <w:rPr>
                <w:sz w:val="21"/>
                <w:szCs w:val="21"/>
              </w:rPr>
              <w:t>低噪声设备，安装</w:t>
            </w:r>
            <w:r>
              <w:rPr>
                <w:rFonts w:hint="eastAsia"/>
                <w:sz w:val="21"/>
                <w:szCs w:val="21"/>
              </w:rPr>
              <w:t>了</w:t>
            </w:r>
            <w:r>
              <w:rPr>
                <w:sz w:val="21"/>
                <w:szCs w:val="21"/>
              </w:rPr>
              <w:t>减震垫、消声器，对设备间门窗进行</w:t>
            </w:r>
            <w:r>
              <w:rPr>
                <w:rFonts w:hint="eastAsia"/>
                <w:sz w:val="21"/>
                <w:szCs w:val="21"/>
              </w:rPr>
              <w:t>了</w:t>
            </w:r>
            <w:r>
              <w:rPr>
                <w:sz w:val="21"/>
                <w:szCs w:val="21"/>
              </w:rPr>
              <w:t>密封降噪处理</w:t>
            </w:r>
          </w:p>
        </w:tc>
        <w:tc>
          <w:tcPr>
            <w:tcW w:w="770" w:type="pct"/>
            <w:vMerge w:val="restart"/>
            <w:vAlign w:val="center"/>
          </w:tcPr>
          <w:p>
            <w:pPr>
              <w:keepNext/>
              <w:keepLines/>
              <w:spacing w:line="280" w:lineRule="atLeast"/>
              <w:ind w:firstLine="23" w:firstLineChars="11"/>
              <w:jc w:val="center"/>
              <w:rPr>
                <w:sz w:val="21"/>
                <w:szCs w:val="21"/>
              </w:rPr>
            </w:pPr>
            <w:r>
              <w:rPr>
                <w:sz w:val="21"/>
                <w:szCs w:val="21"/>
              </w:rPr>
              <w:t>《工业企业厂界环境噪声排放标准》 （GB12348-2008）中1类标准</w:t>
            </w:r>
          </w:p>
        </w:tc>
        <w:tc>
          <w:tcPr>
            <w:tcW w:w="592" w:type="pct"/>
            <w:vMerge w:val="restart"/>
            <w:vAlign w:val="center"/>
          </w:tcPr>
          <w:p>
            <w:pPr>
              <w:keepNext/>
              <w:keepLines/>
              <w:spacing w:line="280" w:lineRule="atLeast"/>
              <w:ind w:firstLine="23" w:firstLineChars="11"/>
              <w:jc w:val="center"/>
              <w:rPr>
                <w:sz w:val="21"/>
                <w:szCs w:val="21"/>
              </w:rPr>
            </w:pPr>
            <w:r>
              <w:rPr>
                <w:sz w:val="21"/>
                <w:szCs w:val="21"/>
              </w:rPr>
              <w:t>昼间55dB（A），夜间45dB（A）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44" w:type="pct"/>
            <w:vMerge w:val="continue"/>
            <w:vAlign w:val="center"/>
          </w:tcPr>
          <w:p>
            <w:pPr>
              <w:keepNext/>
              <w:keepLines/>
              <w:spacing w:line="280" w:lineRule="atLeast"/>
              <w:ind w:firstLine="23" w:firstLineChars="11"/>
              <w:jc w:val="center"/>
              <w:rPr>
                <w:sz w:val="21"/>
                <w:szCs w:val="21"/>
              </w:rPr>
            </w:pPr>
          </w:p>
        </w:tc>
        <w:tc>
          <w:tcPr>
            <w:tcW w:w="225" w:type="pct"/>
            <w:vAlign w:val="center"/>
          </w:tcPr>
          <w:p>
            <w:pPr>
              <w:keepNext/>
              <w:keepLines/>
              <w:spacing w:line="280" w:lineRule="atLeast"/>
              <w:ind w:firstLine="23" w:firstLineChars="11"/>
              <w:jc w:val="center"/>
              <w:rPr>
                <w:sz w:val="21"/>
                <w:szCs w:val="21"/>
              </w:rPr>
            </w:pPr>
            <w:r>
              <w:rPr>
                <w:sz w:val="21"/>
                <w:szCs w:val="21"/>
              </w:rPr>
              <w:t>外界噪声</w:t>
            </w:r>
          </w:p>
        </w:tc>
        <w:tc>
          <w:tcPr>
            <w:tcW w:w="438" w:type="pct"/>
            <w:vAlign w:val="center"/>
          </w:tcPr>
          <w:p>
            <w:pPr>
              <w:keepNext/>
              <w:keepLines/>
              <w:spacing w:line="280" w:lineRule="atLeast"/>
              <w:ind w:firstLine="23" w:firstLineChars="11"/>
              <w:jc w:val="center"/>
              <w:rPr>
                <w:sz w:val="21"/>
                <w:szCs w:val="21"/>
              </w:rPr>
            </w:pPr>
            <w:r>
              <w:rPr>
                <w:rFonts w:hint="eastAsia"/>
                <w:sz w:val="21"/>
                <w:szCs w:val="21"/>
              </w:rPr>
              <w:t>间歇性噪声</w:t>
            </w:r>
          </w:p>
        </w:tc>
        <w:tc>
          <w:tcPr>
            <w:tcW w:w="2732" w:type="pct"/>
            <w:gridSpan w:val="3"/>
            <w:vAlign w:val="center"/>
          </w:tcPr>
          <w:p>
            <w:pPr>
              <w:keepNext/>
              <w:keepLines/>
              <w:spacing w:line="280" w:lineRule="atLeast"/>
              <w:ind w:firstLine="23" w:firstLineChars="11"/>
              <w:jc w:val="center"/>
              <w:rPr>
                <w:sz w:val="21"/>
                <w:szCs w:val="21"/>
              </w:rPr>
            </w:pPr>
            <w:r>
              <w:rPr>
                <w:sz w:val="21"/>
                <w:szCs w:val="21"/>
              </w:rPr>
              <w:t>本项目工作站及会议室均采用了隔声窗，并进行</w:t>
            </w:r>
            <w:r>
              <w:rPr>
                <w:rFonts w:hint="eastAsia"/>
                <w:sz w:val="21"/>
                <w:szCs w:val="21"/>
              </w:rPr>
              <w:t>了</w:t>
            </w:r>
            <w:r>
              <w:rPr>
                <w:sz w:val="21"/>
                <w:szCs w:val="21"/>
              </w:rPr>
              <w:t>绿化，种植</w:t>
            </w:r>
            <w:r>
              <w:rPr>
                <w:rFonts w:hint="eastAsia"/>
                <w:sz w:val="21"/>
                <w:szCs w:val="21"/>
              </w:rPr>
              <w:t>了</w:t>
            </w:r>
            <w:r>
              <w:rPr>
                <w:sz w:val="21"/>
                <w:szCs w:val="21"/>
              </w:rPr>
              <w:t>多层次的树木从而形成隔声屏障来降低外界噪声影响</w:t>
            </w:r>
          </w:p>
        </w:tc>
        <w:tc>
          <w:tcPr>
            <w:tcW w:w="770" w:type="pct"/>
            <w:vMerge w:val="continue"/>
            <w:vAlign w:val="center"/>
          </w:tcPr>
          <w:p>
            <w:pPr>
              <w:keepNext/>
              <w:keepLines/>
              <w:spacing w:line="280" w:lineRule="atLeast"/>
              <w:ind w:firstLine="23" w:firstLineChars="11"/>
              <w:jc w:val="center"/>
              <w:rPr>
                <w:sz w:val="21"/>
                <w:szCs w:val="21"/>
              </w:rPr>
            </w:pPr>
          </w:p>
        </w:tc>
        <w:tc>
          <w:tcPr>
            <w:tcW w:w="592" w:type="pct"/>
            <w:vMerge w:val="continue"/>
            <w:vAlign w:val="center"/>
          </w:tcPr>
          <w:p>
            <w:pPr>
              <w:keepNext/>
              <w:keepLines/>
              <w:spacing w:line="280" w:lineRule="atLeast"/>
              <w:ind w:firstLine="23" w:firstLineChars="11"/>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restart"/>
            <w:vAlign w:val="center"/>
          </w:tcPr>
          <w:p>
            <w:pPr>
              <w:keepNext/>
              <w:keepLines/>
              <w:spacing w:line="280" w:lineRule="atLeast"/>
              <w:ind w:firstLine="23" w:firstLineChars="11"/>
              <w:jc w:val="center"/>
              <w:rPr>
                <w:sz w:val="21"/>
                <w:szCs w:val="21"/>
              </w:rPr>
            </w:pPr>
            <w:r>
              <w:rPr>
                <w:sz w:val="21"/>
                <w:szCs w:val="21"/>
              </w:rPr>
              <w:t>固体废物</w:t>
            </w:r>
          </w:p>
        </w:tc>
        <w:tc>
          <w:tcPr>
            <w:tcW w:w="438" w:type="pct"/>
            <w:vAlign w:val="center"/>
          </w:tcPr>
          <w:p>
            <w:pPr>
              <w:keepNext/>
              <w:keepLines/>
              <w:spacing w:line="280" w:lineRule="atLeast"/>
              <w:ind w:firstLine="23" w:firstLineChars="11"/>
              <w:jc w:val="center"/>
              <w:rPr>
                <w:sz w:val="21"/>
                <w:szCs w:val="21"/>
              </w:rPr>
            </w:pPr>
            <w:r>
              <w:rPr>
                <w:sz w:val="21"/>
                <w:szCs w:val="21"/>
              </w:rPr>
              <w:t>生活垃圾</w:t>
            </w:r>
          </w:p>
        </w:tc>
        <w:tc>
          <w:tcPr>
            <w:tcW w:w="2732" w:type="pct"/>
            <w:gridSpan w:val="3"/>
            <w:vAlign w:val="center"/>
          </w:tcPr>
          <w:p>
            <w:pPr>
              <w:keepNext/>
              <w:keepLines/>
              <w:spacing w:line="280" w:lineRule="atLeast"/>
              <w:ind w:firstLine="420"/>
              <w:jc w:val="center"/>
              <w:rPr>
                <w:sz w:val="21"/>
                <w:szCs w:val="21"/>
              </w:rPr>
            </w:pPr>
            <w:r>
              <w:rPr>
                <w:sz w:val="21"/>
                <w:szCs w:val="21"/>
              </w:rPr>
              <w:t>生活垃圾定点收集后，交由景区环卫部门统一清运处置</w:t>
            </w:r>
          </w:p>
        </w:tc>
        <w:tc>
          <w:tcPr>
            <w:tcW w:w="1362" w:type="pct"/>
            <w:gridSpan w:val="2"/>
            <w:vMerge w:val="restart"/>
            <w:vAlign w:val="center"/>
          </w:tcPr>
          <w:p>
            <w:pPr>
              <w:keepNext/>
              <w:keepLines/>
              <w:spacing w:line="280" w:lineRule="atLeast"/>
              <w:ind w:firstLine="0" w:firstLineChars="0"/>
              <w:jc w:val="center"/>
              <w:rPr>
                <w:sz w:val="21"/>
                <w:szCs w:val="21"/>
              </w:rPr>
            </w:pPr>
            <w:r>
              <w:rPr>
                <w:sz w:val="21"/>
                <w:szCs w:val="21"/>
              </w:rPr>
              <w:t>合理处置</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Merge w:val="continue"/>
            <w:vAlign w:val="center"/>
          </w:tcPr>
          <w:p>
            <w:pPr>
              <w:keepNext/>
              <w:keepLines/>
              <w:spacing w:line="280" w:lineRule="atLeast"/>
              <w:ind w:firstLine="23" w:firstLineChars="11"/>
              <w:jc w:val="center"/>
              <w:rPr>
                <w:sz w:val="21"/>
                <w:szCs w:val="21"/>
              </w:rPr>
            </w:pPr>
          </w:p>
        </w:tc>
        <w:tc>
          <w:tcPr>
            <w:tcW w:w="438" w:type="pct"/>
            <w:vAlign w:val="center"/>
          </w:tcPr>
          <w:p>
            <w:pPr>
              <w:keepNext/>
              <w:keepLines/>
              <w:spacing w:line="280" w:lineRule="atLeast"/>
              <w:ind w:firstLine="23" w:firstLineChars="11"/>
              <w:jc w:val="center"/>
              <w:rPr>
                <w:sz w:val="21"/>
                <w:szCs w:val="21"/>
              </w:rPr>
            </w:pPr>
            <w:r>
              <w:rPr>
                <w:sz w:val="21"/>
                <w:szCs w:val="21"/>
              </w:rPr>
              <w:t>餐厨垃圾</w:t>
            </w:r>
          </w:p>
        </w:tc>
        <w:tc>
          <w:tcPr>
            <w:tcW w:w="2732" w:type="pct"/>
            <w:gridSpan w:val="3"/>
            <w:vAlign w:val="center"/>
          </w:tcPr>
          <w:p>
            <w:pPr>
              <w:keepNext/>
              <w:keepLines/>
              <w:spacing w:line="280" w:lineRule="atLeast"/>
              <w:ind w:firstLine="23" w:firstLineChars="11"/>
              <w:jc w:val="center"/>
              <w:rPr>
                <w:sz w:val="21"/>
                <w:szCs w:val="21"/>
              </w:rPr>
            </w:pPr>
            <w:r>
              <w:rPr>
                <w:sz w:val="21"/>
                <w:szCs w:val="21"/>
              </w:rPr>
              <w:t>食堂设1个密闭收集桶用于收集餐厨垃圾，收集后交由景区环卫部门统一处置</w:t>
            </w:r>
          </w:p>
        </w:tc>
        <w:tc>
          <w:tcPr>
            <w:tcW w:w="1362" w:type="pct"/>
            <w:gridSpan w:val="2"/>
            <w:vMerge w:val="continue"/>
            <w:vAlign w:val="center"/>
          </w:tcPr>
          <w:p>
            <w:pPr>
              <w:keepNext/>
              <w:keepLines/>
              <w:spacing w:line="280" w:lineRule="atLeast"/>
              <w:ind w:firstLine="23" w:firstLineChars="11"/>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68" w:type="pct"/>
            <w:gridSpan w:val="2"/>
            <w:vAlign w:val="center"/>
          </w:tcPr>
          <w:p>
            <w:pPr>
              <w:keepNext/>
              <w:keepLines/>
              <w:spacing w:line="280" w:lineRule="atLeast"/>
              <w:ind w:firstLine="23" w:firstLineChars="11"/>
              <w:jc w:val="center"/>
              <w:rPr>
                <w:sz w:val="21"/>
                <w:szCs w:val="21"/>
              </w:rPr>
            </w:pPr>
            <w:r>
              <w:rPr>
                <w:sz w:val="21"/>
                <w:szCs w:val="21"/>
              </w:rPr>
              <w:t>生态</w:t>
            </w:r>
          </w:p>
        </w:tc>
        <w:tc>
          <w:tcPr>
            <w:tcW w:w="438" w:type="pct"/>
            <w:vAlign w:val="center"/>
          </w:tcPr>
          <w:p>
            <w:pPr>
              <w:keepNext/>
              <w:keepLines/>
              <w:spacing w:line="280" w:lineRule="atLeast"/>
              <w:ind w:firstLine="23" w:firstLineChars="11"/>
              <w:jc w:val="center"/>
              <w:rPr>
                <w:sz w:val="21"/>
                <w:szCs w:val="21"/>
              </w:rPr>
            </w:pPr>
            <w:r>
              <w:rPr>
                <w:sz w:val="21"/>
                <w:szCs w:val="21"/>
              </w:rPr>
              <w:t>绿化</w:t>
            </w:r>
          </w:p>
        </w:tc>
        <w:tc>
          <w:tcPr>
            <w:tcW w:w="2732" w:type="pct"/>
            <w:gridSpan w:val="3"/>
            <w:vAlign w:val="center"/>
          </w:tcPr>
          <w:p>
            <w:pPr>
              <w:keepNext/>
              <w:keepLines/>
              <w:spacing w:line="280" w:lineRule="atLeast"/>
              <w:ind w:firstLine="23" w:firstLineChars="11"/>
              <w:jc w:val="center"/>
              <w:rPr>
                <w:sz w:val="21"/>
                <w:szCs w:val="21"/>
              </w:rPr>
            </w:pPr>
            <w:r>
              <w:rPr>
                <w:sz w:val="21"/>
                <w:szCs w:val="21"/>
              </w:rPr>
              <w:t>项目区内绿化均为当地常见树种，绿化面积达到4327.3m</w:t>
            </w:r>
            <w:r>
              <w:rPr>
                <w:sz w:val="21"/>
                <w:szCs w:val="21"/>
                <w:vertAlign w:val="superscript"/>
              </w:rPr>
              <w:t>2</w:t>
            </w:r>
          </w:p>
        </w:tc>
        <w:tc>
          <w:tcPr>
            <w:tcW w:w="1362" w:type="pct"/>
            <w:gridSpan w:val="2"/>
            <w:vAlign w:val="center"/>
          </w:tcPr>
          <w:p>
            <w:pPr>
              <w:keepNext/>
              <w:keepLines/>
              <w:spacing w:line="280" w:lineRule="atLeast"/>
              <w:ind w:firstLine="23" w:firstLineChars="11"/>
              <w:jc w:val="center"/>
              <w:rPr>
                <w:sz w:val="21"/>
                <w:szCs w:val="21"/>
              </w:rPr>
            </w:pPr>
            <w:r>
              <w:rPr>
                <w:sz w:val="21"/>
                <w:szCs w:val="21"/>
              </w:rPr>
              <w:t>绿化率达到31.25%</w:t>
            </w:r>
          </w:p>
        </w:tc>
      </w:tr>
    </w:tbl>
    <w:p>
      <w:pPr>
        <w:ind w:firstLine="480"/>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tbl>
      <w:tblPr>
        <w:tblStyle w:val="49"/>
        <w:tblpPr w:leftFromText="180" w:rightFromText="180" w:vertAnchor="text" w:horzAnchor="margin" w:tblpXSpec="center" w:tblpY="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134"/>
        <w:gridCol w:w="1559"/>
        <w:gridCol w:w="383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tcBorders>
              <w:top w:val="single" w:color="auto" w:sz="12" w:space="0"/>
              <w:left w:val="nil"/>
              <w:tl2br w:val="single" w:color="auto" w:sz="4" w:space="0"/>
            </w:tcBorders>
          </w:tcPr>
          <w:p>
            <w:pPr>
              <w:spacing w:line="340" w:lineRule="exact"/>
              <w:ind w:firstLine="23" w:firstLineChars="11"/>
              <w:jc w:val="center"/>
              <w:rPr>
                <w:sz w:val="21"/>
                <w:szCs w:val="21"/>
              </w:rPr>
            </w:pPr>
            <w:r>
              <w:rPr>
                <w:sz w:val="21"/>
                <w:szCs w:val="21"/>
              </w:rPr>
              <w:t>内容</w:t>
            </w:r>
          </w:p>
          <w:p>
            <w:pPr>
              <w:spacing w:line="340" w:lineRule="exact"/>
              <w:ind w:firstLine="23" w:firstLineChars="11"/>
              <w:jc w:val="center"/>
              <w:rPr>
                <w:sz w:val="21"/>
                <w:szCs w:val="21"/>
              </w:rPr>
            </w:pPr>
            <w:r>
              <w:rPr>
                <w:sz w:val="21"/>
                <w:szCs w:val="21"/>
              </w:rPr>
              <w:t>类型</w:t>
            </w:r>
          </w:p>
        </w:tc>
        <w:tc>
          <w:tcPr>
            <w:tcW w:w="650" w:type="pct"/>
            <w:tcBorders>
              <w:top w:val="single" w:color="auto" w:sz="12" w:space="0"/>
            </w:tcBorders>
            <w:vAlign w:val="center"/>
          </w:tcPr>
          <w:p>
            <w:pPr>
              <w:spacing w:line="340" w:lineRule="exact"/>
              <w:ind w:firstLine="23" w:firstLineChars="11"/>
              <w:jc w:val="center"/>
              <w:rPr>
                <w:sz w:val="21"/>
                <w:szCs w:val="21"/>
              </w:rPr>
            </w:pPr>
            <w:r>
              <w:rPr>
                <w:sz w:val="21"/>
                <w:szCs w:val="21"/>
              </w:rPr>
              <w:t>排放源</w:t>
            </w:r>
          </w:p>
          <w:p>
            <w:pPr>
              <w:spacing w:line="340" w:lineRule="exact"/>
              <w:ind w:firstLine="23" w:firstLineChars="11"/>
              <w:jc w:val="center"/>
              <w:rPr>
                <w:sz w:val="21"/>
                <w:szCs w:val="21"/>
              </w:rPr>
            </w:pPr>
            <w:r>
              <w:rPr>
                <w:sz w:val="21"/>
                <w:szCs w:val="21"/>
              </w:rPr>
              <w:t>（编号）</w:t>
            </w:r>
          </w:p>
        </w:tc>
        <w:tc>
          <w:tcPr>
            <w:tcW w:w="894" w:type="pct"/>
            <w:tcBorders>
              <w:top w:val="single" w:color="auto" w:sz="12" w:space="0"/>
            </w:tcBorders>
            <w:vAlign w:val="center"/>
          </w:tcPr>
          <w:p>
            <w:pPr>
              <w:spacing w:line="340" w:lineRule="exact"/>
              <w:ind w:firstLine="23" w:firstLineChars="11"/>
              <w:jc w:val="center"/>
              <w:rPr>
                <w:sz w:val="21"/>
                <w:szCs w:val="21"/>
              </w:rPr>
            </w:pPr>
            <w:r>
              <w:rPr>
                <w:sz w:val="21"/>
                <w:szCs w:val="21"/>
              </w:rPr>
              <w:t>污染物</w:t>
            </w:r>
          </w:p>
          <w:p>
            <w:pPr>
              <w:spacing w:line="340" w:lineRule="exact"/>
              <w:ind w:firstLine="23" w:firstLineChars="11"/>
              <w:jc w:val="center"/>
              <w:rPr>
                <w:sz w:val="21"/>
                <w:szCs w:val="21"/>
              </w:rPr>
            </w:pPr>
            <w:r>
              <w:rPr>
                <w:sz w:val="21"/>
                <w:szCs w:val="21"/>
              </w:rPr>
              <w:t>名称</w:t>
            </w:r>
          </w:p>
        </w:tc>
        <w:tc>
          <w:tcPr>
            <w:tcW w:w="2196" w:type="pct"/>
            <w:tcBorders>
              <w:top w:val="single" w:color="auto" w:sz="12" w:space="0"/>
            </w:tcBorders>
            <w:vAlign w:val="center"/>
          </w:tcPr>
          <w:p>
            <w:pPr>
              <w:spacing w:line="340" w:lineRule="exact"/>
              <w:ind w:firstLine="23" w:firstLineChars="11"/>
              <w:jc w:val="center"/>
              <w:rPr>
                <w:sz w:val="21"/>
                <w:szCs w:val="21"/>
              </w:rPr>
            </w:pPr>
            <w:r>
              <w:rPr>
                <w:sz w:val="21"/>
                <w:szCs w:val="21"/>
              </w:rPr>
              <w:t>防治措施</w:t>
            </w:r>
          </w:p>
        </w:tc>
        <w:tc>
          <w:tcPr>
            <w:tcW w:w="792" w:type="pct"/>
            <w:tcBorders>
              <w:top w:val="single" w:color="auto" w:sz="12" w:space="0"/>
            </w:tcBorders>
            <w:vAlign w:val="center"/>
          </w:tcPr>
          <w:p>
            <w:pPr>
              <w:spacing w:line="340" w:lineRule="exact"/>
              <w:ind w:firstLine="23" w:firstLineChars="11"/>
              <w:jc w:val="center"/>
              <w:rPr>
                <w:sz w:val="21"/>
                <w:szCs w:val="21"/>
              </w:rPr>
            </w:pPr>
            <w:r>
              <w:rPr>
                <w:sz w:val="21"/>
                <w:szCs w:val="21"/>
              </w:rPr>
              <w:t>治理效果</w:t>
            </w:r>
          </w:p>
          <w:p>
            <w:pPr>
              <w:spacing w:line="340" w:lineRule="exact"/>
              <w:ind w:firstLine="23" w:firstLineChars="11"/>
              <w:jc w:val="center"/>
              <w:rPr>
                <w:sz w:val="21"/>
                <w:szCs w:val="21"/>
              </w:rPr>
            </w:pPr>
            <w:r>
              <w:rPr>
                <w:sz w:val="21"/>
                <w:szCs w:val="21"/>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tcBorders>
              <w:left w:val="nil"/>
            </w:tcBorders>
            <w:vAlign w:val="center"/>
          </w:tcPr>
          <w:p>
            <w:pPr>
              <w:spacing w:line="340" w:lineRule="exact"/>
              <w:ind w:firstLine="23" w:firstLineChars="11"/>
              <w:jc w:val="center"/>
              <w:rPr>
                <w:sz w:val="21"/>
                <w:szCs w:val="21"/>
              </w:rPr>
            </w:pPr>
            <w:r>
              <w:rPr>
                <w:sz w:val="21"/>
                <w:szCs w:val="21"/>
              </w:rPr>
              <w:t>大气污染物</w:t>
            </w:r>
          </w:p>
        </w:tc>
        <w:tc>
          <w:tcPr>
            <w:tcW w:w="650" w:type="pct"/>
            <w:vAlign w:val="center"/>
          </w:tcPr>
          <w:p>
            <w:pPr>
              <w:keepNext/>
              <w:keepLines/>
              <w:spacing w:line="340" w:lineRule="exact"/>
              <w:ind w:firstLine="23" w:firstLineChars="11"/>
              <w:jc w:val="center"/>
              <w:rPr>
                <w:sz w:val="21"/>
                <w:szCs w:val="21"/>
              </w:rPr>
            </w:pPr>
            <w:r>
              <w:rPr>
                <w:sz w:val="21"/>
                <w:szCs w:val="21"/>
              </w:rPr>
              <w:t>食堂</w:t>
            </w:r>
          </w:p>
        </w:tc>
        <w:tc>
          <w:tcPr>
            <w:tcW w:w="894" w:type="pct"/>
            <w:vAlign w:val="center"/>
          </w:tcPr>
          <w:p>
            <w:pPr>
              <w:keepNext/>
              <w:keepLines/>
              <w:spacing w:line="340" w:lineRule="exact"/>
              <w:ind w:firstLine="23" w:firstLineChars="11"/>
              <w:jc w:val="center"/>
              <w:rPr>
                <w:sz w:val="21"/>
                <w:szCs w:val="21"/>
              </w:rPr>
            </w:pPr>
            <w:r>
              <w:rPr>
                <w:sz w:val="21"/>
                <w:szCs w:val="21"/>
              </w:rPr>
              <w:t>油烟废气</w:t>
            </w:r>
          </w:p>
        </w:tc>
        <w:tc>
          <w:tcPr>
            <w:tcW w:w="2196" w:type="pct"/>
            <w:vAlign w:val="center"/>
          </w:tcPr>
          <w:p>
            <w:pPr>
              <w:keepNext/>
              <w:keepLines/>
              <w:spacing w:line="340" w:lineRule="exact"/>
              <w:ind w:firstLine="23" w:firstLineChars="11"/>
              <w:jc w:val="center"/>
              <w:rPr>
                <w:sz w:val="21"/>
                <w:szCs w:val="21"/>
              </w:rPr>
            </w:pPr>
            <w:r>
              <w:rPr>
                <w:sz w:val="21"/>
                <w:szCs w:val="21"/>
              </w:rPr>
              <w:t>设一套高效复合油烟净化器，处理风量4000m</w:t>
            </w:r>
            <w:r>
              <w:rPr>
                <w:sz w:val="21"/>
                <w:szCs w:val="21"/>
                <w:vertAlign w:val="superscript"/>
              </w:rPr>
              <w:t>3</w:t>
            </w:r>
            <w:r>
              <w:rPr>
                <w:sz w:val="21"/>
                <w:szCs w:val="21"/>
              </w:rPr>
              <w:t>/h，处理效率达到80%</w:t>
            </w:r>
          </w:p>
        </w:tc>
        <w:tc>
          <w:tcPr>
            <w:tcW w:w="792" w:type="pct"/>
            <w:vAlign w:val="center"/>
          </w:tcPr>
          <w:p>
            <w:pPr>
              <w:keepNext/>
              <w:keepLines/>
              <w:spacing w:line="340" w:lineRule="exact"/>
              <w:ind w:firstLine="23" w:firstLineChars="11"/>
              <w:jc w:val="center"/>
              <w:rPr>
                <w:sz w:val="21"/>
                <w:szCs w:val="21"/>
              </w:rPr>
            </w:pPr>
            <w:r>
              <w:rPr>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tcBorders>
              <w:top w:val="single" w:color="auto" w:sz="4" w:space="0"/>
              <w:left w:val="nil"/>
            </w:tcBorders>
            <w:vAlign w:val="center"/>
          </w:tcPr>
          <w:p>
            <w:pPr>
              <w:spacing w:line="340" w:lineRule="exact"/>
              <w:ind w:firstLine="23" w:firstLineChars="11"/>
              <w:jc w:val="center"/>
              <w:rPr>
                <w:sz w:val="21"/>
                <w:szCs w:val="21"/>
              </w:rPr>
            </w:pPr>
            <w:r>
              <w:rPr>
                <w:sz w:val="21"/>
                <w:szCs w:val="21"/>
              </w:rPr>
              <w:t>水污</w:t>
            </w:r>
          </w:p>
          <w:p>
            <w:pPr>
              <w:spacing w:line="340" w:lineRule="exact"/>
              <w:ind w:firstLine="23" w:firstLineChars="11"/>
              <w:jc w:val="center"/>
              <w:rPr>
                <w:sz w:val="21"/>
                <w:szCs w:val="21"/>
              </w:rPr>
            </w:pPr>
            <w:r>
              <w:rPr>
                <w:sz w:val="21"/>
                <w:szCs w:val="21"/>
              </w:rPr>
              <w:t>染物</w:t>
            </w:r>
          </w:p>
        </w:tc>
        <w:tc>
          <w:tcPr>
            <w:tcW w:w="650" w:type="pct"/>
            <w:tcBorders>
              <w:top w:val="single" w:color="auto" w:sz="4" w:space="0"/>
            </w:tcBorders>
            <w:vAlign w:val="center"/>
          </w:tcPr>
          <w:p>
            <w:pPr>
              <w:keepNext/>
              <w:keepLines/>
              <w:spacing w:line="340" w:lineRule="exact"/>
              <w:ind w:firstLine="23" w:firstLineChars="11"/>
              <w:jc w:val="center"/>
              <w:rPr>
                <w:sz w:val="21"/>
                <w:szCs w:val="21"/>
              </w:rPr>
            </w:pPr>
            <w:r>
              <w:rPr>
                <w:sz w:val="21"/>
                <w:szCs w:val="21"/>
              </w:rPr>
              <w:t>生活污水</w:t>
            </w:r>
          </w:p>
        </w:tc>
        <w:tc>
          <w:tcPr>
            <w:tcW w:w="894" w:type="pct"/>
            <w:tcBorders>
              <w:top w:val="single" w:color="auto" w:sz="4" w:space="0"/>
            </w:tcBorders>
            <w:vAlign w:val="center"/>
          </w:tcPr>
          <w:p>
            <w:pPr>
              <w:keepNext/>
              <w:keepLines/>
              <w:spacing w:line="340" w:lineRule="exact"/>
              <w:ind w:firstLine="23" w:firstLineChars="11"/>
              <w:jc w:val="center"/>
              <w:rPr>
                <w:sz w:val="21"/>
                <w:szCs w:val="21"/>
              </w:rPr>
            </w:pPr>
            <w:r>
              <w:rPr>
                <w:sz w:val="21"/>
                <w:szCs w:val="21"/>
              </w:rPr>
              <w:t>COD、BOD</w:t>
            </w:r>
            <w:r>
              <w:rPr>
                <w:sz w:val="21"/>
                <w:szCs w:val="21"/>
                <w:vertAlign w:val="subscript"/>
              </w:rPr>
              <w:t>5</w:t>
            </w:r>
            <w:r>
              <w:rPr>
                <w:sz w:val="21"/>
                <w:szCs w:val="21"/>
              </w:rPr>
              <w:t>、SS、氨氮</w:t>
            </w:r>
          </w:p>
        </w:tc>
        <w:tc>
          <w:tcPr>
            <w:tcW w:w="2196" w:type="pct"/>
            <w:tcBorders>
              <w:top w:val="single" w:color="auto" w:sz="4" w:space="0"/>
            </w:tcBorders>
            <w:vAlign w:val="center"/>
          </w:tcPr>
          <w:p>
            <w:pPr>
              <w:keepNext/>
              <w:keepLines/>
              <w:spacing w:line="340" w:lineRule="exact"/>
              <w:ind w:firstLine="23" w:firstLineChars="11"/>
              <w:jc w:val="center"/>
              <w:rPr>
                <w:sz w:val="21"/>
                <w:szCs w:val="21"/>
              </w:rPr>
            </w:pPr>
            <w:r>
              <w:rPr>
                <w:position w:val="0"/>
                <w:sz w:val="21"/>
                <w:szCs w:val="21"/>
              </w:rPr>
              <w:t>食堂废水经隔油池（</w:t>
            </w:r>
            <w:r>
              <w:rPr>
                <w:rFonts w:hint="eastAsia"/>
                <w:position w:val="0"/>
                <w:sz w:val="21"/>
                <w:szCs w:val="21"/>
              </w:rPr>
              <w:t>1</w:t>
            </w:r>
            <w:r>
              <w:rPr>
                <w:position w:val="0"/>
                <w:sz w:val="21"/>
                <w:szCs w:val="21"/>
              </w:rPr>
              <w:t>m</w:t>
            </w:r>
            <w:r>
              <w:rPr>
                <w:position w:val="0"/>
                <w:sz w:val="21"/>
                <w:szCs w:val="21"/>
                <w:vertAlign w:val="superscript"/>
              </w:rPr>
              <w:t>3</w:t>
            </w:r>
            <w:r>
              <w:rPr>
                <w:position w:val="0"/>
                <w:sz w:val="21"/>
                <w:szCs w:val="21"/>
              </w:rPr>
              <w:t>）隔油后与生活污水一起排入化粪池（200m</w:t>
            </w:r>
            <w:r>
              <w:rPr>
                <w:position w:val="0"/>
                <w:sz w:val="21"/>
                <w:szCs w:val="21"/>
                <w:vertAlign w:val="superscript"/>
              </w:rPr>
              <w:t>3</w:t>
            </w:r>
            <w:r>
              <w:rPr>
                <w:position w:val="0"/>
                <w:sz w:val="21"/>
                <w:szCs w:val="21"/>
              </w:rPr>
              <w:t>）预处理，然后由污水罐车定期送至五台山杨柏峪污水处理厂</w:t>
            </w:r>
            <w:r>
              <w:rPr>
                <w:sz w:val="21"/>
                <w:szCs w:val="21"/>
              </w:rPr>
              <w:t xml:space="preserve"> </w:t>
            </w:r>
          </w:p>
        </w:tc>
        <w:tc>
          <w:tcPr>
            <w:tcW w:w="792" w:type="pct"/>
            <w:tcBorders>
              <w:top w:val="single" w:color="auto" w:sz="4" w:space="0"/>
            </w:tcBorders>
            <w:vAlign w:val="center"/>
          </w:tcPr>
          <w:p>
            <w:pPr>
              <w:keepNext/>
              <w:keepLines/>
              <w:spacing w:line="340" w:lineRule="exact"/>
              <w:ind w:firstLine="23" w:firstLineChars="11"/>
              <w:jc w:val="center"/>
              <w:rPr>
                <w:sz w:val="21"/>
                <w:szCs w:val="21"/>
              </w:rPr>
            </w:pPr>
            <w:r>
              <w:rPr>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restart"/>
            <w:tcBorders>
              <w:left w:val="nil"/>
            </w:tcBorders>
            <w:vAlign w:val="center"/>
          </w:tcPr>
          <w:p>
            <w:pPr>
              <w:spacing w:line="340" w:lineRule="exact"/>
              <w:ind w:firstLine="23" w:firstLineChars="11"/>
              <w:jc w:val="center"/>
              <w:rPr>
                <w:sz w:val="21"/>
                <w:szCs w:val="21"/>
              </w:rPr>
            </w:pPr>
            <w:r>
              <w:rPr>
                <w:sz w:val="21"/>
                <w:szCs w:val="21"/>
              </w:rPr>
              <w:t>固体</w:t>
            </w:r>
          </w:p>
          <w:p>
            <w:pPr>
              <w:spacing w:line="340" w:lineRule="exact"/>
              <w:ind w:firstLine="23" w:firstLineChars="11"/>
              <w:jc w:val="center"/>
              <w:rPr>
                <w:sz w:val="21"/>
                <w:szCs w:val="21"/>
              </w:rPr>
            </w:pPr>
            <w:r>
              <w:rPr>
                <w:sz w:val="21"/>
                <w:szCs w:val="21"/>
              </w:rPr>
              <w:t>废物</w:t>
            </w:r>
          </w:p>
        </w:tc>
        <w:tc>
          <w:tcPr>
            <w:tcW w:w="650" w:type="pct"/>
            <w:vAlign w:val="center"/>
          </w:tcPr>
          <w:p>
            <w:pPr>
              <w:keepNext/>
              <w:keepLines/>
              <w:spacing w:line="340" w:lineRule="exact"/>
              <w:ind w:firstLine="23" w:firstLineChars="11"/>
              <w:jc w:val="center"/>
              <w:rPr>
                <w:sz w:val="21"/>
                <w:szCs w:val="21"/>
              </w:rPr>
            </w:pPr>
            <w:r>
              <w:rPr>
                <w:sz w:val="21"/>
                <w:szCs w:val="21"/>
              </w:rPr>
              <w:t>生活垃圾</w:t>
            </w:r>
          </w:p>
        </w:tc>
        <w:tc>
          <w:tcPr>
            <w:tcW w:w="894" w:type="pct"/>
            <w:vAlign w:val="center"/>
          </w:tcPr>
          <w:p>
            <w:pPr>
              <w:keepNext/>
              <w:keepLines/>
              <w:spacing w:line="340" w:lineRule="exact"/>
              <w:ind w:firstLine="23" w:firstLineChars="11"/>
              <w:jc w:val="center"/>
              <w:rPr>
                <w:sz w:val="21"/>
                <w:szCs w:val="21"/>
              </w:rPr>
            </w:pPr>
            <w:r>
              <w:rPr>
                <w:sz w:val="21"/>
                <w:szCs w:val="21"/>
              </w:rPr>
              <w:t>一般固废</w:t>
            </w:r>
          </w:p>
        </w:tc>
        <w:tc>
          <w:tcPr>
            <w:tcW w:w="2196" w:type="pct"/>
            <w:vAlign w:val="center"/>
          </w:tcPr>
          <w:p>
            <w:pPr>
              <w:keepNext/>
              <w:keepLines/>
              <w:spacing w:line="340" w:lineRule="exact"/>
              <w:ind w:firstLine="23" w:firstLineChars="11"/>
              <w:jc w:val="center"/>
              <w:rPr>
                <w:sz w:val="21"/>
                <w:szCs w:val="21"/>
              </w:rPr>
            </w:pPr>
            <w:r>
              <w:rPr>
                <w:sz w:val="21"/>
                <w:szCs w:val="21"/>
              </w:rPr>
              <w:t>生活垃圾定点收集后，交由景区环卫部门统一清运处置</w:t>
            </w:r>
          </w:p>
        </w:tc>
        <w:tc>
          <w:tcPr>
            <w:tcW w:w="792" w:type="pct"/>
            <w:vAlign w:val="center"/>
          </w:tcPr>
          <w:p>
            <w:pPr>
              <w:keepNext/>
              <w:keepLines/>
              <w:spacing w:line="340" w:lineRule="exact"/>
              <w:ind w:firstLine="23" w:firstLineChars="11"/>
              <w:jc w:val="center"/>
              <w:rPr>
                <w:sz w:val="21"/>
                <w:szCs w:val="21"/>
              </w:rPr>
            </w:pPr>
            <w:r>
              <w:rPr>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continue"/>
            <w:tcBorders>
              <w:left w:val="nil"/>
            </w:tcBorders>
            <w:vAlign w:val="center"/>
          </w:tcPr>
          <w:p>
            <w:pPr>
              <w:spacing w:line="340" w:lineRule="exact"/>
              <w:ind w:firstLine="23" w:firstLineChars="11"/>
              <w:jc w:val="center"/>
              <w:rPr>
                <w:sz w:val="21"/>
                <w:szCs w:val="21"/>
              </w:rPr>
            </w:pPr>
          </w:p>
        </w:tc>
        <w:tc>
          <w:tcPr>
            <w:tcW w:w="650" w:type="pct"/>
            <w:vAlign w:val="center"/>
          </w:tcPr>
          <w:p>
            <w:pPr>
              <w:keepNext/>
              <w:keepLines/>
              <w:spacing w:line="340" w:lineRule="exact"/>
              <w:ind w:firstLine="23" w:firstLineChars="11"/>
              <w:jc w:val="center"/>
              <w:rPr>
                <w:sz w:val="21"/>
                <w:szCs w:val="21"/>
              </w:rPr>
            </w:pPr>
            <w:r>
              <w:rPr>
                <w:sz w:val="21"/>
                <w:szCs w:val="21"/>
              </w:rPr>
              <w:t>餐厨垃圾</w:t>
            </w:r>
          </w:p>
        </w:tc>
        <w:tc>
          <w:tcPr>
            <w:tcW w:w="894" w:type="pct"/>
            <w:vAlign w:val="center"/>
          </w:tcPr>
          <w:p>
            <w:pPr>
              <w:keepNext/>
              <w:keepLines/>
              <w:spacing w:line="340" w:lineRule="exact"/>
              <w:ind w:firstLine="23" w:firstLineChars="11"/>
              <w:jc w:val="center"/>
              <w:rPr>
                <w:sz w:val="21"/>
                <w:szCs w:val="21"/>
              </w:rPr>
            </w:pPr>
            <w:r>
              <w:rPr>
                <w:sz w:val="21"/>
                <w:szCs w:val="21"/>
              </w:rPr>
              <w:t>一般固废</w:t>
            </w:r>
          </w:p>
        </w:tc>
        <w:tc>
          <w:tcPr>
            <w:tcW w:w="2196" w:type="pct"/>
            <w:vAlign w:val="center"/>
          </w:tcPr>
          <w:p>
            <w:pPr>
              <w:keepNext/>
              <w:keepLines/>
              <w:spacing w:line="340" w:lineRule="exact"/>
              <w:ind w:firstLine="23" w:firstLineChars="11"/>
              <w:jc w:val="center"/>
              <w:rPr>
                <w:sz w:val="21"/>
                <w:szCs w:val="21"/>
              </w:rPr>
            </w:pPr>
            <w:r>
              <w:rPr>
                <w:sz w:val="21"/>
                <w:szCs w:val="21"/>
              </w:rPr>
              <w:t>食堂设1个密闭收集桶用于收集餐厨垃圾，收集后每日交由景区环卫部门统一处置</w:t>
            </w:r>
          </w:p>
        </w:tc>
        <w:tc>
          <w:tcPr>
            <w:tcW w:w="792" w:type="pct"/>
            <w:vAlign w:val="center"/>
          </w:tcPr>
          <w:p>
            <w:pPr>
              <w:keepNext/>
              <w:keepLines/>
              <w:spacing w:line="340" w:lineRule="exact"/>
              <w:ind w:firstLine="23" w:firstLineChars="11"/>
              <w:jc w:val="center"/>
              <w:rPr>
                <w:sz w:val="21"/>
                <w:szCs w:val="21"/>
              </w:rPr>
            </w:pPr>
            <w:r>
              <w:rPr>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restart"/>
            <w:tcBorders>
              <w:left w:val="nil"/>
              <w:bottom w:val="single" w:color="auto" w:sz="4" w:space="0"/>
              <w:right w:val="single" w:color="auto" w:sz="4" w:space="0"/>
            </w:tcBorders>
            <w:vAlign w:val="center"/>
          </w:tcPr>
          <w:p>
            <w:pPr>
              <w:spacing w:line="340" w:lineRule="exact"/>
              <w:ind w:firstLine="23" w:firstLineChars="11"/>
              <w:jc w:val="center"/>
              <w:rPr>
                <w:sz w:val="21"/>
                <w:szCs w:val="21"/>
              </w:rPr>
            </w:pPr>
            <w:r>
              <w:rPr>
                <w:sz w:val="21"/>
                <w:szCs w:val="21"/>
              </w:rPr>
              <w:t>噪声</w:t>
            </w:r>
          </w:p>
        </w:tc>
        <w:tc>
          <w:tcPr>
            <w:tcW w:w="650" w:type="pc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自身噪声</w:t>
            </w:r>
          </w:p>
        </w:tc>
        <w:tc>
          <w:tcPr>
            <w:tcW w:w="894" w:type="pc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噪声</w:t>
            </w:r>
          </w:p>
        </w:tc>
        <w:tc>
          <w:tcPr>
            <w:tcW w:w="2196" w:type="pc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对于食堂油烟风机、洗衣设备、泵类等设备选择低噪声设备，安装减震垫、消声器，对设备间门窗进行密封降噪处理</w:t>
            </w:r>
          </w:p>
        </w:tc>
        <w:tc>
          <w:tcPr>
            <w:tcW w:w="792" w:type="pct"/>
            <w:vMerge w:val="restart"/>
            <w:tcBorders>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pct"/>
            <w:vMerge w:val="continue"/>
            <w:tcBorders>
              <w:top w:val="single" w:color="auto" w:sz="4" w:space="0"/>
              <w:left w:val="nil"/>
              <w:bottom w:val="single" w:color="auto" w:sz="4" w:space="0"/>
              <w:right w:val="single" w:color="auto" w:sz="4" w:space="0"/>
            </w:tcBorders>
            <w:vAlign w:val="center"/>
          </w:tcPr>
          <w:p>
            <w:pPr>
              <w:spacing w:line="340" w:lineRule="exact"/>
              <w:ind w:firstLine="23" w:firstLineChars="11"/>
              <w:jc w:val="center"/>
              <w:rPr>
                <w:sz w:val="21"/>
                <w:szCs w:val="21"/>
              </w:rPr>
            </w:pPr>
          </w:p>
        </w:tc>
        <w:tc>
          <w:tcPr>
            <w:tcW w:w="650" w:type="pct"/>
            <w:tcBorders>
              <w:top w:val="single" w:color="auto" w:sz="4" w:space="0"/>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外界噪声</w:t>
            </w:r>
          </w:p>
        </w:tc>
        <w:tc>
          <w:tcPr>
            <w:tcW w:w="894" w:type="pct"/>
            <w:tcBorders>
              <w:top w:val="single" w:color="auto" w:sz="4" w:space="0"/>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噪声</w:t>
            </w:r>
          </w:p>
        </w:tc>
        <w:tc>
          <w:tcPr>
            <w:tcW w:w="2196" w:type="pct"/>
            <w:tcBorders>
              <w:top w:val="single" w:color="auto" w:sz="4" w:space="0"/>
              <w:left w:val="single" w:color="auto" w:sz="4" w:space="0"/>
              <w:bottom w:val="single" w:color="auto" w:sz="4" w:space="0"/>
              <w:right w:val="single" w:color="auto" w:sz="4" w:space="0"/>
            </w:tcBorders>
            <w:vAlign w:val="center"/>
          </w:tcPr>
          <w:p>
            <w:pPr>
              <w:keepNext/>
              <w:keepLines/>
              <w:spacing w:line="340" w:lineRule="exact"/>
              <w:ind w:firstLine="23" w:firstLineChars="11"/>
              <w:jc w:val="center"/>
              <w:rPr>
                <w:sz w:val="21"/>
                <w:szCs w:val="21"/>
              </w:rPr>
            </w:pPr>
            <w:r>
              <w:rPr>
                <w:sz w:val="21"/>
                <w:szCs w:val="21"/>
              </w:rPr>
              <w:t>本项目工作站及会议室均采用了隔声窗，并进行绿化，种植多层次的树木从而形成隔声屏障来降低外界噪声影响</w:t>
            </w:r>
          </w:p>
        </w:tc>
        <w:tc>
          <w:tcPr>
            <w:tcW w:w="792" w:type="pct"/>
            <w:vMerge w:val="continue"/>
            <w:tcBorders>
              <w:top w:val="single" w:color="auto" w:sz="4" w:space="0"/>
              <w:left w:val="single" w:color="auto" w:sz="4" w:space="0"/>
              <w:bottom w:val="single" w:color="auto" w:sz="4" w:space="0"/>
              <w:right w:val="single" w:color="auto" w:sz="4" w:space="0"/>
            </w:tcBorders>
            <w:vAlign w:val="center"/>
          </w:tcPr>
          <w:p>
            <w:pPr>
              <w:spacing w:line="340" w:lineRule="exact"/>
              <w:ind w:firstLine="23" w:firstLineChars="11"/>
              <w:jc w:val="center"/>
              <w:rPr>
                <w:sz w:val="21"/>
                <w:szCs w:val="21"/>
              </w:rPr>
            </w:pPr>
          </w:p>
        </w:tc>
      </w:tr>
    </w:tbl>
    <w:p>
      <w:pPr>
        <w:pStyle w:val="2"/>
      </w:pPr>
      <w:r>
        <w:pict>
          <v:shape id="Text Box 2499" o:spid="_x0000_s1093" o:spt="202" type="#_x0000_t202" style="position:absolute;left:0pt;margin-left:-3.3pt;margin-top:-29.35pt;height:37.25pt;width:42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">
            <v:path/>
            <v:fill on="f" focussize="0,0"/>
            <v:stroke on="f" color="#FFFFFF" joinstyle="miter"/>
            <v:imagedata o:title=""/>
            <o:lock v:ext="edit"/>
            <v:textbox>
              <w:txbxContent>
                <w:p>
                  <w:pPr>
                    <w:ind w:firstLine="0" w:firstLineChars="0"/>
                    <w:rPr>
                      <w:rFonts w:ascii="黑体" w:eastAsia="黑体"/>
                      <w:b/>
                      <w:bCs/>
                      <w:sz w:val="30"/>
                    </w:rPr>
                  </w:pPr>
                  <w:r>
                    <w:rPr>
                      <w:rFonts w:hint="eastAsia" w:ascii="黑体" w:eastAsia="黑体"/>
                      <w:b/>
                      <w:bCs/>
                      <w:sz w:val="30"/>
                    </w:rPr>
                    <w:t>建设项目拟采取的防治措施及预期治理效果</w:t>
                  </w:r>
                </w:p>
              </w:txbxContent>
            </v:textbox>
          </v:shape>
        </w:pict>
      </w:r>
      <w:r>
        <w:t>生态保护措施及预期效果：</w:t>
      </w:r>
    </w:p>
    <w:p>
      <w:pPr>
        <w:ind w:firstLine="420"/>
        <w:rPr>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sz w:val="21"/>
          <w:szCs w:val="21"/>
        </w:rPr>
        <w:t>绿化种植</w:t>
      </w:r>
    </w:p>
    <w:p>
      <w:pPr>
        <w:ind w:firstLine="420"/>
        <w:rPr>
          <w:sz w:val="21"/>
          <w:szCs w:val="21"/>
        </w:rPr>
      </w:pPr>
      <w:r>
        <w:rPr>
          <w:sz w:val="21"/>
          <w:szCs w:val="21"/>
        </w:rPr>
        <w:t>充分利用绿色植物在交换空气、改善环境、保持生态平衡等方面的重要作用。</w:t>
      </w:r>
      <w:r>
        <w:rPr>
          <w:rFonts w:hint="eastAsia"/>
          <w:sz w:val="21"/>
          <w:szCs w:val="21"/>
        </w:rPr>
        <w:t>绿化面积达到4327.3</w:t>
      </w:r>
      <w:r>
        <w:rPr>
          <w:sz w:val="21"/>
          <w:szCs w:val="21"/>
        </w:rPr>
        <w:t>m</w:t>
      </w:r>
      <w:r>
        <w:rPr>
          <w:sz w:val="21"/>
          <w:szCs w:val="21"/>
          <w:vertAlign w:val="superscript"/>
        </w:rPr>
        <w:t>2</w:t>
      </w:r>
      <w:r>
        <w:rPr>
          <w:rFonts w:hint="eastAsia"/>
          <w:sz w:val="21"/>
          <w:szCs w:val="21"/>
        </w:rPr>
        <w:t>，绿化率31.25</w:t>
      </w:r>
      <w:r>
        <w:rPr>
          <w:sz w:val="21"/>
          <w:szCs w:val="21"/>
        </w:rPr>
        <w:t>%</w:t>
      </w:r>
      <w:r>
        <w:rPr>
          <w:rFonts w:hint="eastAsia"/>
          <w:sz w:val="21"/>
          <w:szCs w:val="21"/>
        </w:rPr>
        <w:t>，项目区内以当地常见树种进行了绿化植被种植，有利于项目所在区域的水土保持。</w:t>
      </w:r>
    </w:p>
    <w:p>
      <w:pPr>
        <w:ind w:firstLine="420"/>
        <w:rPr>
          <w:sz w:val="21"/>
          <w:szCs w:val="21"/>
        </w:rPr>
      </w:pP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rFonts w:hint="eastAsia"/>
          <w:sz w:val="21"/>
          <w:szCs w:val="21"/>
        </w:rPr>
        <w:t xml:space="preserve">绿化养护管理 </w:t>
      </w:r>
    </w:p>
    <w:p>
      <w:pPr>
        <w:ind w:firstLine="420"/>
        <w:rPr>
          <w:sz w:val="21"/>
          <w:szCs w:val="21"/>
        </w:rPr>
      </w:pPr>
      <w:r>
        <w:rPr>
          <w:rFonts w:hint="eastAsia"/>
          <w:sz w:val="21"/>
          <w:szCs w:val="21"/>
        </w:rPr>
        <w:t xml:space="preserve">绿化后期的养护管理包括喷水养护、追施肥料、培土补植、病虫害防治和疏林间伐。在植被种植后的三年内，每年对人工穴松土、除草一次，松土深5-10cm。第四年冬季开始平茬，以后每隔四年一次。平茬时在秋末轮流隔带进行。 </w:t>
      </w:r>
    </w:p>
    <w:p>
      <w:pPr>
        <w:ind w:firstLine="480"/>
      </w:pPr>
    </w:p>
    <w:p>
      <w:pPr>
        <w:autoSpaceDE w:val="0"/>
        <w:autoSpaceDN w:val="0"/>
        <w:adjustRightInd w:val="0"/>
        <w:ind w:firstLine="480"/>
        <w:jc w:val="left"/>
        <w:rPr>
          <w:rFonts w:cs="宋体"/>
          <w:kern w:val="0"/>
        </w:rPr>
        <w:sectPr>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pStyle w:val="2"/>
      </w:pPr>
      <w:r>
        <w:t>1</w:t>
      </w:r>
      <w:r>
        <w:rPr>
          <w:rFonts w:hint="eastAsia"/>
        </w:rPr>
        <w:t>、</w:t>
      </w:r>
      <w:r>
        <w:pict>
          <v:shape id="Text Box 2205" o:spid="_x0000_s1094" o:spt="202" type="#_x0000_t202" style="position:absolute;left:0pt;margin-left:-6.15pt;margin-top:-35pt;height:39.7pt;width:257.3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">
            <v:path/>
            <v:fill on="f" focussize="0,0"/>
            <v:stroke on="f" color="#FFFFFF" joinstyle="miter"/>
            <v:imagedata o:title=""/>
            <o:lock v:ext="edit"/>
            <v:textbox>
              <w:txbxContent>
                <w:p>
                  <w:pPr>
                    <w:ind w:firstLine="0" w:firstLineChars="0"/>
                    <w:rPr>
                      <w:rFonts w:ascii="黑体" w:eastAsia="黑体"/>
                      <w:bCs/>
                      <w:sz w:val="30"/>
                    </w:rPr>
                  </w:pPr>
                  <w:r>
                    <w:rPr>
                      <w:rFonts w:hint="eastAsia" w:ascii="黑体" w:eastAsia="黑体"/>
                      <w:bCs/>
                      <w:sz w:val="30"/>
                    </w:rPr>
                    <w:t>结论与建议</w:t>
                  </w:r>
                </w:p>
              </w:txbxContent>
            </v:textbox>
          </v:shape>
        </w:pict>
      </w:r>
      <w:r>
        <w:rPr>
          <w:rFonts w:hint="eastAsia"/>
        </w:rPr>
        <w:t>结论</w:t>
      </w:r>
    </w:p>
    <w:p>
      <w:pPr>
        <w:pStyle w:val="3"/>
        <w:ind w:firstLine="480"/>
      </w:pPr>
      <w:r>
        <w:rPr>
          <w:rFonts w:hint="eastAsia"/>
        </w:rPr>
        <w:t>1.1建设项目概况</w:t>
      </w:r>
    </w:p>
    <w:p>
      <w:pPr>
        <w:ind w:firstLine="480"/>
        <w:rPr>
          <w:szCs w:val="20"/>
        </w:rPr>
      </w:pPr>
      <w:r>
        <w:rPr>
          <w:rFonts w:hint="eastAsia"/>
        </w:rPr>
        <w:t>五台山警苑山庄（警苑工作站）建设项目位于五台山风景名胜区台怀镇西湾村东南105m处，五台山风景名胜区灵峰圣境景区以北（核心景区外），台怀镇政府东北4公里，本项目总占地面积13847.39m</w:t>
      </w:r>
      <w:r>
        <w:rPr>
          <w:rFonts w:hint="eastAsia"/>
          <w:vertAlign w:val="superscript"/>
        </w:rPr>
        <w:t>2</w:t>
      </w:r>
      <w:r>
        <w:rPr>
          <w:rFonts w:hint="eastAsia"/>
        </w:rPr>
        <w:t>，合计20.77亩，项目建设内容包括工作站、会议室、住宿楼、宿舍楼、食堂、洗衣房、仓库、门卫、停车场及其他配套给水、供暖、燃气、供电工程等，总建筑面积4168.4m</w:t>
      </w:r>
      <w:r>
        <w:rPr>
          <w:rFonts w:hint="eastAsia"/>
          <w:vertAlign w:val="superscript"/>
        </w:rPr>
        <w:t>2</w:t>
      </w:r>
      <w:r>
        <w:rPr>
          <w:rFonts w:hint="eastAsia"/>
        </w:rPr>
        <w:t>，建筑密度25%，绿地率为31.25%，容积率为0.3，停车位12个。</w:t>
      </w:r>
    </w:p>
    <w:p>
      <w:pPr>
        <w:pStyle w:val="3"/>
        <w:ind w:firstLine="480"/>
      </w:pPr>
      <w:r>
        <w:rPr>
          <w:rFonts w:hint="eastAsia"/>
        </w:rPr>
        <w:t>1.2产业政策</w:t>
      </w:r>
    </w:p>
    <w:p>
      <w:pPr>
        <w:ind w:firstLine="480"/>
      </w:pPr>
      <w:r>
        <w:rPr>
          <w:rFonts w:hint="eastAsia"/>
        </w:rPr>
        <w:t>根据《产业结构调整指导目录》（2011 年本）（2013 年修正），本项目不属于鼓励类及限制淘汰类，为允许类，该项目已由五台山风景名胜区旅游发展局以台景旅发[2017]76号文件予以核准。因此，本项目符合国家和地方的产业政策要求。</w:t>
      </w:r>
    </w:p>
    <w:p>
      <w:pPr>
        <w:pStyle w:val="3"/>
        <w:ind w:firstLine="480"/>
      </w:pPr>
      <w:r>
        <w:rPr>
          <w:rFonts w:hint="eastAsia"/>
        </w:rPr>
        <w:t>1.3项目选址</w:t>
      </w:r>
    </w:p>
    <w:p>
      <w:pPr>
        <w:ind w:firstLine="480"/>
      </w:pPr>
      <w:r>
        <w:rPr>
          <w:rFonts w:hint="eastAsia"/>
        </w:rPr>
        <w:t>本项目</w:t>
      </w:r>
      <w:r>
        <w:rPr>
          <w:rFonts w:hint="eastAsia" w:ascii="宋体" w:hAnsi="宋体"/>
          <w:bCs/>
        </w:rPr>
        <w:t>为五台山风景名胜区的社会公共事业建设项目，位</w:t>
      </w:r>
      <w:r>
        <w:rPr>
          <w:rFonts w:hint="eastAsia" w:ascii="宋体" w:hAnsi="宋体"/>
        </w:rPr>
        <w:t>于五台山风景名胜区</w:t>
      </w:r>
      <w:r>
        <w:rPr>
          <w:rFonts w:hint="eastAsia"/>
          <w:bCs/>
        </w:rPr>
        <w:t>风景培育区</w:t>
      </w:r>
      <w:r>
        <w:rPr>
          <w:rFonts w:hint="eastAsia" w:ascii="宋体" w:hAnsi="宋体"/>
        </w:rPr>
        <w:t>范围内</w:t>
      </w:r>
      <w:r>
        <w:rPr>
          <w:rFonts w:hint="eastAsia" w:ascii="宋体" w:hAnsi="宋体"/>
          <w:bCs/>
        </w:rPr>
        <w:t>，</w:t>
      </w:r>
      <w:r>
        <w:rPr>
          <w:rFonts w:hint="eastAsia"/>
        </w:rPr>
        <w:t>符合五台山风景区总体规划的要求，符合土地利用政策要求，已取得山西省住建厅《山西省风景名胜区建设工程选址意见书》（晋建城字[2017]第4号）。</w:t>
      </w:r>
    </w:p>
    <w:p>
      <w:pPr>
        <w:ind w:firstLine="480"/>
      </w:pPr>
      <w:r>
        <w:rPr>
          <w:rFonts w:hint="eastAsia"/>
        </w:rPr>
        <w:t>本项目</w:t>
      </w:r>
      <w:r>
        <w:rPr>
          <w:rFonts w:hint="eastAsia"/>
          <w:bCs/>
        </w:rPr>
        <w:t>属于五台山风景名胜区的社会公共事业建设项目，位于五台山世界自然文化遗产、五台山国家级风景名胜区、五台山国家地质公园、五台山国家森林公园等</w:t>
      </w:r>
      <w:r>
        <w:rPr>
          <w:rFonts w:hint="eastAsia"/>
        </w:rPr>
        <w:t>重要</w:t>
      </w:r>
      <w:r>
        <w:rPr>
          <w:rFonts w:hint="eastAsia"/>
          <w:bCs/>
        </w:rPr>
        <w:t>生态敏感区内，符合上述各类敏感区规划和保护要求。</w:t>
      </w:r>
    </w:p>
    <w:p>
      <w:pPr>
        <w:ind w:firstLine="480"/>
      </w:pPr>
      <w:r>
        <w:rPr>
          <w:rFonts w:hint="eastAsia"/>
        </w:rPr>
        <w:t>项目在采取本次环评中规定的污染防治措施后，各项污染物均可达标排放，对环境影响很小，因此建设项目选址可行，与区域环境相容。</w:t>
      </w:r>
    </w:p>
    <w:p>
      <w:pPr>
        <w:pStyle w:val="3"/>
        <w:ind w:firstLine="480"/>
      </w:pPr>
      <w:r>
        <w:rPr>
          <w:rFonts w:hint="eastAsia"/>
        </w:rPr>
        <w:t>1.4环境质量现状</w:t>
      </w:r>
    </w:p>
    <w:p>
      <w:pPr>
        <w:spacing w:beforeLines="50"/>
        <w:ind w:firstLine="480"/>
      </w:pPr>
      <w:r>
        <w:rPr>
          <w:rFonts w:hint="eastAsia"/>
        </w:rPr>
        <w:t>项目位于五台山风景区范围内，根据现场勘查，评价区内无工矿企业和其他污染源，评价区环境空气质量良好。</w:t>
      </w:r>
      <w:r>
        <w:rPr>
          <w:rFonts w:hint="eastAsia"/>
          <w:szCs w:val="20"/>
        </w:rPr>
        <w:t>本项目最近的地表水体为清水河，通过现场调查，该河段目前处于干涸状态。</w:t>
      </w:r>
      <w:r>
        <w:rPr>
          <w:rFonts w:hint="eastAsia"/>
          <w:spacing w:val="6"/>
        </w:rPr>
        <w:t>本项目所处地区周围无其他企业和其他噪声污染源，项目所处地区声环境质量良好。</w:t>
      </w:r>
      <w:r>
        <w:rPr>
          <w:rFonts w:hint="eastAsia"/>
          <w:szCs w:val="20"/>
        </w:rPr>
        <w:t>评价区主要</w:t>
      </w:r>
      <w:r>
        <w:rPr>
          <w:rFonts w:hint="eastAsia"/>
          <w:spacing w:val="6"/>
        </w:rPr>
        <w:t>地属丘陵地区，项目</w:t>
      </w:r>
      <w:r>
        <w:rPr>
          <w:rFonts w:hint="eastAsia"/>
        </w:rPr>
        <w:t>西侧和南侧为牧草地，东侧和南侧山坡</w:t>
      </w:r>
      <w:r>
        <w:rPr>
          <w:rFonts w:hint="eastAsia"/>
          <w:spacing w:val="6"/>
        </w:rPr>
        <w:t>有林地分布</w:t>
      </w:r>
      <w:r>
        <w:rPr>
          <w:rFonts w:hint="eastAsia"/>
        </w:rPr>
        <w:t>，周围植被覆盖完整，</w:t>
      </w:r>
      <w:r>
        <w:t>在山坡和山谷有小片的旱地</w:t>
      </w:r>
      <w:r>
        <w:rPr>
          <w:rFonts w:hint="eastAsia"/>
        </w:rPr>
        <w:t>分布</w:t>
      </w:r>
      <w:r>
        <w:t>，</w:t>
      </w:r>
      <w:r>
        <w:rPr>
          <w:rFonts w:hint="eastAsia"/>
        </w:rPr>
        <w:t>生态环境优美，区域</w:t>
      </w:r>
      <w:r>
        <w:t>自然生态环境</w:t>
      </w:r>
      <w:r>
        <w:rPr>
          <w:rFonts w:hint="eastAsia"/>
        </w:rPr>
        <w:t>良好</w:t>
      </w:r>
      <w:r>
        <w:t>。</w:t>
      </w:r>
    </w:p>
    <w:p>
      <w:pPr>
        <w:pStyle w:val="3"/>
        <w:ind w:firstLine="480"/>
      </w:pPr>
      <w:r>
        <w:rPr>
          <w:rFonts w:hint="eastAsia"/>
        </w:rPr>
        <w:t>1.5污染物排放情况（达标排放和总量控制）</w:t>
      </w:r>
    </w:p>
    <w:p>
      <w:pPr>
        <w:pStyle w:val="25"/>
        <w:spacing w:line="480" w:lineRule="exact"/>
        <w:ind w:firstLine="480"/>
        <w:rPr>
          <w:sz w:val="24"/>
        </w:rPr>
      </w:pPr>
      <w:r>
        <w:rPr>
          <w:rFonts w:hint="eastAsia"/>
          <w:sz w:val="24"/>
        </w:rPr>
        <w:t>根据工程分析可知，本项目大气污染物排放主要为食堂油烟，设一套高效复合油烟净化器，处理后废气经过屋顶排气口排放；项目食堂废水经隔油池后同其他生活污水一同进入化粪池预处理，处理后由污水罐车定期送至五台山杨柏峪污水处理厂；</w:t>
      </w:r>
      <w:r>
        <w:rPr>
          <w:sz w:val="24"/>
        </w:rPr>
        <w:t>对于食堂油烟风机、洗衣设备、泵类等设备选择低噪声设备，</w:t>
      </w:r>
      <w:r>
        <w:rPr>
          <w:rFonts w:hint="eastAsia"/>
          <w:sz w:val="24"/>
        </w:rPr>
        <w:t>进行</w:t>
      </w:r>
      <w:r>
        <w:rPr>
          <w:sz w:val="24"/>
        </w:rPr>
        <w:t>减震、消声</w:t>
      </w:r>
      <w:r>
        <w:rPr>
          <w:rFonts w:hint="eastAsia"/>
          <w:sz w:val="24"/>
        </w:rPr>
        <w:t>、隔声</w:t>
      </w:r>
      <w:r>
        <w:rPr>
          <w:sz w:val="24"/>
        </w:rPr>
        <w:t>降噪处理</w:t>
      </w:r>
      <w:r>
        <w:rPr>
          <w:rFonts w:hint="eastAsia"/>
          <w:sz w:val="24"/>
        </w:rPr>
        <w:t>，使厂界噪声达标；</w:t>
      </w:r>
      <w:r>
        <w:rPr>
          <w:sz w:val="24"/>
        </w:rPr>
        <w:t>生活垃圾</w:t>
      </w:r>
      <w:r>
        <w:rPr>
          <w:rFonts w:hint="eastAsia"/>
          <w:sz w:val="24"/>
        </w:rPr>
        <w:t>和食堂餐厨垃圾</w:t>
      </w:r>
      <w:r>
        <w:rPr>
          <w:sz w:val="24"/>
        </w:rPr>
        <w:t>定点收集后，交由景区环卫部门统一清运处置</w:t>
      </w:r>
      <w:r>
        <w:rPr>
          <w:rFonts w:hint="eastAsia"/>
          <w:sz w:val="24"/>
        </w:rPr>
        <w:t>。运营期污染源及排放的污染物严格采取评价提出的防治措施，各类污染物可实现达标排放</w:t>
      </w:r>
      <w:r>
        <w:rPr>
          <w:sz w:val="24"/>
        </w:rPr>
        <w:t>。</w:t>
      </w:r>
    </w:p>
    <w:p>
      <w:pPr>
        <w:pStyle w:val="25"/>
        <w:spacing w:line="480" w:lineRule="exact"/>
        <w:ind w:firstLine="480"/>
        <w:rPr>
          <w:sz w:val="24"/>
        </w:rPr>
      </w:pPr>
      <w:r>
        <w:rPr>
          <w:rFonts w:hint="eastAsia"/>
          <w:sz w:val="24"/>
        </w:rPr>
        <w:t>根据山西省环境保护厅“关于印发《山西省环境保护厅建设项目主要污染物排放总量核定办法》的通知”（晋环发【2015】25号文），本项目不属于环境统计重点工业源调查行业范围内（《国民经济行业分类》（GB/T4754）中采矿业，制造业，电力、燃气及水的生产和供应业，3个门类39个行业）的建设项目，不需申请污染物排放总量控制指标。</w:t>
      </w:r>
    </w:p>
    <w:p>
      <w:pPr>
        <w:pStyle w:val="3"/>
        <w:ind w:firstLine="480"/>
      </w:pPr>
      <w:r>
        <w:rPr>
          <w:rFonts w:hint="eastAsia"/>
        </w:rPr>
        <w:t>1.6环境保护措施</w:t>
      </w:r>
    </w:p>
    <w:p>
      <w:pPr>
        <w:pStyle w:val="4"/>
        <w:spacing w:line="480" w:lineRule="exact"/>
        <w:ind w:firstLine="480"/>
      </w:pPr>
      <w:r>
        <w:rPr>
          <w:rFonts w:hint="eastAsia"/>
        </w:rPr>
        <w:t>本项目食堂设2个灶头，在食堂灶台上方设置集气罩，油烟集气罩投影面积应大于灶台面，设一套高效复合油烟净化器，处理效率达到80%，油烟净化处理后废气经过屋顶排气口排放；项目食堂废水经隔油池后同其他生活污水一同进入化粪池预处理，处理后由污水罐车定期送至五台山杨柏峪污水处理厂；</w:t>
      </w:r>
      <w:r>
        <w:rPr>
          <w:szCs w:val="20"/>
        </w:rPr>
        <w:t>对于食堂油烟风机、洗衣设备、泵类等设备选择低噪声设备，安装减震垫、消声器，对设备间门窗进行密封降噪处理</w:t>
      </w:r>
      <w:r>
        <w:rPr>
          <w:rFonts w:hint="eastAsia"/>
        </w:rPr>
        <w:t>；</w:t>
      </w:r>
      <w:r>
        <w:rPr>
          <w:szCs w:val="20"/>
        </w:rPr>
        <w:t>本项目工作站及会议室均采用了隔声窗，并进行绿化，种植多层次的树木从而形成隔声屏障来降低外界噪声影响</w:t>
      </w:r>
      <w:r>
        <w:rPr>
          <w:rFonts w:hint="eastAsia"/>
        </w:rPr>
        <w:t>。</w:t>
      </w:r>
      <w:r>
        <w:rPr>
          <w:szCs w:val="20"/>
        </w:rPr>
        <w:t>生活垃圾定点收集后，交由景区环卫部门统一清运处置</w:t>
      </w:r>
      <w:r>
        <w:rPr>
          <w:rFonts w:hint="eastAsia"/>
        </w:rPr>
        <w:t>。</w:t>
      </w:r>
      <w:r>
        <w:rPr>
          <w:szCs w:val="20"/>
        </w:rPr>
        <w:t>食堂设1个密闭收集桶用于收集餐厨垃圾，收集后交由景区环卫部门统一处置</w:t>
      </w:r>
      <w:r>
        <w:rPr>
          <w:rFonts w:hint="eastAsia"/>
        </w:rPr>
        <w:t>。</w:t>
      </w:r>
      <w:r>
        <w:rPr>
          <w:szCs w:val="20"/>
        </w:rPr>
        <w:t>项目区内绿化均为当地常见树种，绿化面积达到4327.3m</w:t>
      </w:r>
      <w:r>
        <w:rPr>
          <w:szCs w:val="20"/>
          <w:vertAlign w:val="superscript"/>
        </w:rPr>
        <w:t>2</w:t>
      </w:r>
      <w:r>
        <w:rPr>
          <w:rFonts w:hint="eastAsia"/>
        </w:rPr>
        <w:t>。因此，本项目运营后，在采取评价提出的污染防治对策后，对周围环境的影响较小。</w:t>
      </w:r>
    </w:p>
    <w:p>
      <w:pPr>
        <w:pStyle w:val="3"/>
        <w:ind w:firstLine="480"/>
      </w:pPr>
      <w:r>
        <w:rPr>
          <w:rFonts w:hint="eastAsia"/>
        </w:rPr>
        <w:t xml:space="preserve">1.7对区域环境质量的影响 </w:t>
      </w:r>
    </w:p>
    <w:p>
      <w:pPr>
        <w:ind w:firstLine="480"/>
      </w:pPr>
      <w:r>
        <w:rPr>
          <w:rFonts w:hint="eastAsia"/>
        </w:rPr>
        <w:t xml:space="preserve">本项目在采取环评规定的污染防治措施后，大气污染源能实现达标排放，对区域环境空气质量的影响较小，项目食堂废水经隔油池后同其他生活污水一同进入化粪池预处理，处理后由污水罐车定期送至五台山杨柏峪污水处理厂，得以合理处置，噪声源进行基础减振、隔声、消声等措施后，场界噪声可达标，生活垃圾等一般固废由环卫部门统一处理，加强项目区绿化植被管理，进一步改善项目周围的生态环境，不会对周边环境产生明显影响。 </w:t>
      </w:r>
    </w:p>
    <w:p>
      <w:pPr>
        <w:pStyle w:val="3"/>
        <w:ind w:firstLine="480"/>
      </w:pPr>
      <w:r>
        <w:rPr>
          <w:rFonts w:hint="eastAsia"/>
        </w:rPr>
        <w:t>1.8</w:t>
      </w:r>
      <w:r>
        <w:t>环境管理与监测计划</w:t>
      </w:r>
    </w:p>
    <w:p>
      <w:pPr>
        <w:snapToGrid w:val="0"/>
        <w:spacing w:line="480" w:lineRule="exact"/>
        <w:ind w:firstLine="480"/>
        <w:rPr>
          <w:bCs/>
        </w:rPr>
      </w:pPr>
      <w:r>
        <w:rPr>
          <w:rFonts w:hint="eastAsia"/>
          <w:bCs/>
        </w:rPr>
        <w:t>本项目运营后，从环境工作计划、工作重点以及工作方法等方面均需要项目单位进行建设，从而为环境管理奠定坚实的基础。</w:t>
      </w:r>
      <w:r>
        <w:rPr>
          <w:bCs/>
        </w:rPr>
        <w:t>环境监测是环境管理的依据和基础，通过监测可以及时反映</w:t>
      </w:r>
      <w:r>
        <w:rPr>
          <w:rFonts w:hint="eastAsia"/>
          <w:bCs/>
        </w:rPr>
        <w:t>项目</w:t>
      </w:r>
      <w:r>
        <w:rPr>
          <w:bCs/>
        </w:rPr>
        <w:t>的环境信息、污染物产生的原因和排放情况、</w:t>
      </w:r>
      <w:r>
        <w:rPr>
          <w:rFonts w:hint="eastAsia"/>
          <w:bCs/>
        </w:rPr>
        <w:t>项目地址</w:t>
      </w:r>
      <w:r>
        <w:rPr>
          <w:bCs/>
        </w:rPr>
        <w:t>的环境质量状况，提供准确的环境管理依据。</w:t>
      </w:r>
    </w:p>
    <w:p>
      <w:pPr>
        <w:spacing w:line="480" w:lineRule="exact"/>
        <w:ind w:firstLine="480"/>
      </w:pPr>
      <w:r>
        <w:rPr>
          <w:rFonts w:hint="eastAsia"/>
        </w:rPr>
        <w:t>本</w:t>
      </w:r>
      <w:r>
        <w:t>项目环境监测</w:t>
      </w:r>
      <w:r>
        <w:rPr>
          <w:rFonts w:hint="eastAsia"/>
        </w:rPr>
        <w:t>工作</w:t>
      </w:r>
      <w:r>
        <w:t>可委托</w:t>
      </w:r>
      <w:r>
        <w:rPr>
          <w:rFonts w:hint="eastAsia"/>
        </w:rPr>
        <w:t>请求当地</w:t>
      </w:r>
      <w:r>
        <w:t>环境监测站进行定期监测。</w:t>
      </w:r>
      <w:r>
        <w:rPr>
          <w:rFonts w:ascii="宋体" w:hAnsi="宋体"/>
        </w:rPr>
        <w:t>环境监测计划的制定依据项目内容和实际情况，制定相应切实可行的方案，重点监测本企业</w:t>
      </w:r>
      <w:r>
        <w:rPr>
          <w:rFonts w:hint="eastAsia" w:ascii="宋体" w:hAnsi="宋体"/>
        </w:rPr>
        <w:t>厂界噪声和生活污水的</w:t>
      </w:r>
      <w:r>
        <w:rPr>
          <w:rFonts w:ascii="宋体" w:hAnsi="宋体"/>
        </w:rPr>
        <w:t>排放情况：（</w:t>
      </w:r>
      <w:r>
        <w:t>1</w:t>
      </w:r>
      <w:r>
        <w:rPr>
          <w:rFonts w:ascii="宋体" w:hAnsi="宋体"/>
        </w:rPr>
        <w:t>）厂界噪声</w:t>
      </w:r>
      <w:r>
        <w:rPr>
          <w:rFonts w:hint="eastAsia" w:ascii="宋体" w:hAnsi="宋体"/>
        </w:rPr>
        <w:t>：</w:t>
      </w:r>
      <w:r>
        <w:rPr>
          <w:rFonts w:ascii="宋体" w:hAnsi="宋体"/>
        </w:rPr>
        <w:t>在项目厂界四周各布设</w:t>
      </w:r>
      <w:r>
        <w:t>1</w:t>
      </w:r>
      <w:r>
        <w:rPr>
          <w:rFonts w:ascii="宋体" w:hAnsi="宋体"/>
        </w:rPr>
        <w:t>个监测点，共</w:t>
      </w:r>
      <w:r>
        <w:t>4</w:t>
      </w:r>
      <w:r>
        <w:rPr>
          <w:rFonts w:ascii="宋体" w:hAnsi="宋体"/>
        </w:rPr>
        <w:t>个噪声监测点。监测内容为</w:t>
      </w:r>
      <w:r>
        <w:t>L</w:t>
      </w:r>
      <w:r>
        <w:rPr>
          <w:vertAlign w:val="subscript"/>
        </w:rPr>
        <w:t>10</w:t>
      </w:r>
      <w:r>
        <w:rPr>
          <w:rFonts w:ascii="宋体" w:hAnsi="宋体"/>
        </w:rPr>
        <w:t>、</w:t>
      </w:r>
      <w:r>
        <w:t>L</w:t>
      </w:r>
      <w:r>
        <w:rPr>
          <w:vertAlign w:val="subscript"/>
        </w:rPr>
        <w:t>50</w:t>
      </w:r>
      <w:r>
        <w:rPr>
          <w:rFonts w:ascii="宋体" w:hAnsi="宋体"/>
        </w:rPr>
        <w:t>、</w:t>
      </w:r>
      <w:r>
        <w:t>L</w:t>
      </w:r>
      <w:r>
        <w:rPr>
          <w:vertAlign w:val="subscript"/>
        </w:rPr>
        <w:t>90</w:t>
      </w:r>
      <w:r>
        <w:rPr>
          <w:rFonts w:ascii="宋体" w:hAnsi="宋体"/>
        </w:rPr>
        <w:t>、</w:t>
      </w:r>
      <w:r>
        <w:t>L</w:t>
      </w:r>
      <w:r>
        <w:rPr>
          <w:vertAlign w:val="subscript"/>
        </w:rPr>
        <w:t>eq</w:t>
      </w:r>
      <w:r>
        <w:rPr>
          <w:rFonts w:ascii="宋体" w:hAnsi="宋体"/>
        </w:rPr>
        <w:t>、</w:t>
      </w:r>
      <w:r>
        <w:t>SD</w:t>
      </w:r>
      <w:r>
        <w:rPr>
          <w:rFonts w:ascii="宋体" w:hAnsi="宋体"/>
        </w:rPr>
        <w:t>，监测频率为每年</w:t>
      </w:r>
      <w:r>
        <w:t>1</w:t>
      </w:r>
      <w:r>
        <w:rPr>
          <w:rFonts w:ascii="宋体" w:hAnsi="宋体"/>
        </w:rPr>
        <w:t>次，昼夜分别测量；监测应在正常生产，工况稳定、无雨、无雪的天气条件下进行，风速小于</w:t>
      </w:r>
      <w:r>
        <w:t>5m/s</w:t>
      </w:r>
      <w:r>
        <w:rPr>
          <w:rFonts w:ascii="宋体" w:hAnsi="宋体"/>
        </w:rPr>
        <w:t>。（</w:t>
      </w:r>
      <w:r>
        <w:t>2</w:t>
      </w:r>
      <w:r>
        <w:rPr>
          <w:rFonts w:ascii="宋体" w:hAnsi="宋体"/>
        </w:rPr>
        <w:t>）</w:t>
      </w:r>
      <w:r>
        <w:rPr>
          <w:rFonts w:hint="eastAsia" w:ascii="宋体" w:hAnsi="宋体"/>
        </w:rPr>
        <w:t>生活污水：化粪池废水污染物浓度需满足</w:t>
      </w:r>
      <w:r>
        <w:rPr>
          <w:rFonts w:hint="eastAsia" w:hAnsi="宋体"/>
        </w:rPr>
        <w:t>《污水排入城镇下水道水质标准》（GB/T31962-2015）中A级标准要求</w:t>
      </w:r>
      <w:r>
        <w:rPr>
          <w:rFonts w:hint="eastAsia" w:ascii="宋体" w:hAnsi="宋体"/>
        </w:rPr>
        <w:t>，因此，监测内容为</w:t>
      </w:r>
      <w:r>
        <w:rPr>
          <w:rFonts w:hint="eastAsia"/>
          <w:bCs/>
        </w:rPr>
        <w:t>COD</w:t>
      </w:r>
      <w:r>
        <w:rPr>
          <w:rFonts w:hint="eastAsia"/>
        </w:rPr>
        <w:t>cr</w:t>
      </w:r>
      <w:r>
        <w:rPr>
          <w:rFonts w:hint="eastAsia"/>
          <w:bCs/>
        </w:rPr>
        <w:t>、BOD</w:t>
      </w:r>
      <w:r>
        <w:rPr>
          <w:rFonts w:hint="eastAsia"/>
          <w:bCs/>
          <w:vertAlign w:val="subscript"/>
        </w:rPr>
        <w:t>5</w:t>
      </w:r>
      <w:r>
        <w:rPr>
          <w:rFonts w:hint="eastAsia"/>
          <w:bCs/>
        </w:rPr>
        <w:t>、氨氮、SS，</w:t>
      </w:r>
      <w:r>
        <w:rPr>
          <w:rFonts w:ascii="宋体" w:hAnsi="宋体"/>
        </w:rPr>
        <w:t>监测频率为每年</w:t>
      </w:r>
      <w:r>
        <w:t>1</w:t>
      </w:r>
      <w:r>
        <w:rPr>
          <w:rFonts w:ascii="宋体" w:hAnsi="宋体"/>
        </w:rPr>
        <w:t>次，</w:t>
      </w:r>
      <w:r>
        <w:rPr>
          <w:rFonts w:hint="eastAsia" w:ascii="宋体" w:hAnsi="宋体"/>
        </w:rPr>
        <w:t>每次</w:t>
      </w:r>
      <w:r>
        <w:rPr>
          <w:rFonts w:hint="eastAsia"/>
          <w:spacing w:val="4"/>
        </w:rPr>
        <w:t>连续2天，每天采样3次</w:t>
      </w:r>
      <w:r>
        <w:rPr>
          <w:rFonts w:ascii="宋体" w:hAnsi="宋体"/>
        </w:rPr>
        <w:t>。并对以上监测结果进行统计汇总，上报</w:t>
      </w:r>
      <w:r>
        <w:rPr>
          <w:rFonts w:hint="eastAsia" w:ascii="宋体" w:hAnsi="宋体"/>
        </w:rPr>
        <w:t>环保</w:t>
      </w:r>
      <w:r>
        <w:rPr>
          <w:rFonts w:ascii="宋体" w:hAnsi="宋体"/>
        </w:rPr>
        <w:t>主管部门，监测结果如有异常，应及时反馈生产管理部门，查找原因，及时解决，真正起到环境保护的作用。</w:t>
      </w:r>
    </w:p>
    <w:p>
      <w:pPr>
        <w:spacing w:line="480" w:lineRule="exact"/>
        <w:ind w:firstLine="480"/>
      </w:pPr>
      <w:r>
        <w:rPr>
          <w:rFonts w:ascii="宋体" w:hAnsi="宋体"/>
        </w:rPr>
        <w:t>上述工作内容要以</w:t>
      </w:r>
      <w:r>
        <w:t>“</w:t>
      </w:r>
      <w:r>
        <w:rPr>
          <w:rFonts w:ascii="宋体" w:hAnsi="宋体"/>
        </w:rPr>
        <w:t>长远</w:t>
      </w:r>
      <w:r>
        <w:t>”</w:t>
      </w:r>
      <w:r>
        <w:rPr>
          <w:rFonts w:ascii="宋体" w:hAnsi="宋体"/>
        </w:rPr>
        <w:t>的观点为出发点，结合当地的发展目标，最终形成协调、良好的环境管理体制</w:t>
      </w:r>
      <w:r>
        <w:rPr>
          <w:rFonts w:hint="eastAsia" w:ascii="宋体" w:hAnsi="宋体"/>
        </w:rPr>
        <w:t>，</w:t>
      </w:r>
      <w:r>
        <w:rPr>
          <w:rFonts w:ascii="宋体" w:hAnsi="宋体"/>
        </w:rPr>
        <w:t>实现经济、社会和环境效益的和谐统一。</w:t>
      </w:r>
    </w:p>
    <w:p>
      <w:pPr>
        <w:pStyle w:val="3"/>
        <w:ind w:firstLine="480"/>
      </w:pPr>
      <w:r>
        <w:rPr>
          <w:rFonts w:hint="eastAsia"/>
        </w:rPr>
        <w:t>1.9结论</w:t>
      </w:r>
    </w:p>
    <w:p>
      <w:pPr>
        <w:ind w:firstLine="600" w:firstLineChars="250"/>
        <w:rPr>
          <w:bCs/>
        </w:rPr>
      </w:pPr>
      <w:r>
        <w:rPr>
          <w:rFonts w:hint="eastAsia"/>
        </w:rPr>
        <w:t>综上所述，五台山警苑山庄（警苑工作站）建设项目符合国家及地方的产业政策，符合五台山风景名胜区总体规划等规划要求，选址合理。项目全面落实本报告提出的各项环境污染治理措施的基础上，运营后可做到各类污染物达标排放，对环境影响较小，</w:t>
      </w:r>
      <w:r>
        <w:t>从环保角度考虑，本项目建设是可行的。</w:t>
      </w:r>
    </w:p>
    <w:p>
      <w:pPr>
        <w:pStyle w:val="2"/>
      </w:pPr>
      <w:r>
        <w:rPr>
          <w:rFonts w:hint="eastAsia"/>
        </w:rPr>
        <w:t>2、建议</w:t>
      </w:r>
    </w:p>
    <w:p>
      <w:pPr>
        <w:ind w:firstLine="480"/>
      </w:pPr>
      <w:r>
        <w:rPr>
          <w:rFonts w:hint="eastAsia"/>
        </w:rPr>
        <w:t>（1）加强环境管理，</w:t>
      </w:r>
      <w:r>
        <w:rPr>
          <w:rFonts w:hint="eastAsia"/>
          <w:lang w:eastAsia="zh-CN"/>
        </w:rPr>
        <w:t>建立健全</w:t>
      </w:r>
      <w:r>
        <w:rPr>
          <w:rFonts w:hint="eastAsia"/>
        </w:rPr>
        <w:t>环境管理制度，贯彻执行国家和地方的环境法律、法规，组织环保宣传和教育工作；</w:t>
      </w:r>
    </w:p>
    <w:p>
      <w:pPr>
        <w:ind w:firstLine="480"/>
      </w:pPr>
      <w:r>
        <w:rPr>
          <w:rFonts w:hint="eastAsia"/>
        </w:rPr>
        <w:t>（2）要求项目严格落实环评要求的各项措施，确保污染物达标排放；</w:t>
      </w:r>
    </w:p>
    <w:p>
      <w:pPr>
        <w:ind w:firstLine="480"/>
      </w:pPr>
      <w:r>
        <w:rPr>
          <w:rFonts w:hint="eastAsia"/>
        </w:rPr>
        <w:t>（3）加强绿化养护管理工作，改善局部环境面貌，为景区发展提供良好的自然环境；</w:t>
      </w:r>
    </w:p>
    <w:p>
      <w:pPr>
        <w:ind w:firstLine="480"/>
      </w:pPr>
      <w:r>
        <w:rPr>
          <w:rFonts w:hint="eastAsia"/>
        </w:rPr>
        <w:t>（4）</w:t>
      </w:r>
      <w:r>
        <w:rPr>
          <w:bCs/>
        </w:rPr>
        <w:t>通过定期环境知识培训，提高</w:t>
      </w:r>
      <w:r>
        <w:rPr>
          <w:rFonts w:hint="eastAsia"/>
          <w:bCs/>
        </w:rPr>
        <w:t>人员</w:t>
      </w:r>
      <w:r>
        <w:rPr>
          <w:bCs/>
        </w:rPr>
        <w:t>环境素养，</w:t>
      </w:r>
      <w:r>
        <w:rPr>
          <w:rFonts w:hint="eastAsia"/>
          <w:bCs/>
        </w:rPr>
        <w:t>禁止随意丢弃垃圾，提倡行为举止文明</w:t>
      </w:r>
      <w:r>
        <w:rPr>
          <w:rFonts w:hint="eastAsia"/>
        </w:rPr>
        <w:t>。</w:t>
      </w: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sectPr>
          <w:footerReference r:id="rId22" w:type="default"/>
          <w:footerReference r:id="rId23" w:type="even"/>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pPr>
    </w:p>
    <w:p>
      <w:pPr>
        <w:ind w:right="19" w:rightChars="8" w:firstLine="480"/>
        <w:jc w:val="left"/>
      </w:pPr>
      <w:r>
        <w:t>预审意见：</w:t>
      </w: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p>
    <w:p>
      <w:pPr>
        <w:ind w:firstLine="480"/>
        <w:jc w:val="left"/>
      </w:pPr>
      <w:r>
        <w:t xml:space="preserve">                                   </w:t>
      </w:r>
      <w:r>
        <w:rPr>
          <w:rFonts w:hint="eastAsia"/>
        </w:rPr>
        <w:t xml:space="preserve">          </w:t>
      </w:r>
      <w:r>
        <w:t>公    章</w:t>
      </w:r>
    </w:p>
    <w:p>
      <w:pPr>
        <w:ind w:firstLine="480"/>
        <w:jc w:val="left"/>
      </w:pPr>
    </w:p>
    <w:p>
      <w:pPr>
        <w:ind w:firstLine="240" w:firstLineChars="100"/>
        <w:jc w:val="left"/>
      </w:pPr>
      <w:r>
        <w:t xml:space="preserve">经办人：                         </w:t>
      </w:r>
      <w:r>
        <w:rPr>
          <w:rFonts w:hint="eastAsia"/>
        </w:rPr>
        <w:t xml:space="preserve">              </w:t>
      </w:r>
      <w:r>
        <w:t>年    月    日</w:t>
      </w:r>
    </w:p>
    <w:p>
      <w:pPr>
        <w:ind w:firstLine="240" w:firstLineChars="100"/>
        <w:jc w:val="left"/>
      </w:pPr>
    </w:p>
    <w:p>
      <w:pPr>
        <w:ind w:firstLine="480"/>
        <w:jc w:val="left"/>
      </w:pPr>
      <w:r>
        <w:pict>
          <v:line id="直接连接符 5" o:spid="_x0000_s1095" o:spt="20" style="position:absolute;left:0pt;margin-left:-5.55pt;margin-top:5.2pt;height:0pt;width:436.5pt;z-index:25166540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">
            <v:path arrowok="t"/>
            <v:fill focussize="0,0"/>
            <v:stroke weight="1pt" color="#000000"/>
            <v:imagedata o:title=""/>
            <o:lock v:ext="edit"/>
          </v:line>
        </w:pict>
      </w:r>
    </w:p>
    <w:p>
      <w:pPr>
        <w:ind w:firstLine="240" w:firstLineChars="100"/>
        <w:jc w:val="left"/>
      </w:pPr>
      <w:r>
        <w:t>下一级环境保护行政主管部门审查意见：</w:t>
      </w: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r>
        <w:t xml:space="preserve">                                  </w:t>
      </w:r>
      <w:r>
        <w:rPr>
          <w:rFonts w:hint="eastAsia"/>
        </w:rPr>
        <w:t xml:space="preserve">             </w:t>
      </w:r>
      <w:r>
        <w:t xml:space="preserve"> 公    章</w:t>
      </w:r>
    </w:p>
    <w:p>
      <w:pPr>
        <w:ind w:firstLine="240" w:firstLineChars="100"/>
        <w:jc w:val="left"/>
      </w:pPr>
    </w:p>
    <w:p>
      <w:pPr>
        <w:ind w:firstLine="240" w:firstLineChars="100"/>
        <w:jc w:val="left"/>
      </w:pPr>
      <w:r>
        <w:t xml:space="preserve">经办人：                        </w:t>
      </w:r>
      <w:r>
        <w:rPr>
          <w:rFonts w:hint="eastAsia"/>
        </w:rPr>
        <w:t xml:space="preserve">                </w:t>
      </w:r>
      <w:r>
        <w:t>年    月    日</w:t>
      </w:r>
    </w:p>
    <w:p>
      <w:pPr>
        <w:ind w:firstLine="240" w:firstLineChars="100"/>
        <w:jc w:val="left"/>
      </w:pPr>
    </w:p>
    <w:p>
      <w:pPr>
        <w:ind w:firstLine="240" w:firstLineChars="100"/>
        <w:jc w:val="left"/>
      </w:pPr>
    </w:p>
    <w:p>
      <w:pPr>
        <w:ind w:firstLine="480"/>
        <w:jc w:val="left"/>
      </w:pPr>
      <w:r>
        <w:rPr>
          <w:rFonts w:hint="eastAsia"/>
        </w:rPr>
        <w:t>审批意见：</w:t>
      </w: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240" w:firstLineChars="100"/>
        <w:jc w:val="left"/>
      </w:pPr>
    </w:p>
    <w:p>
      <w:pPr>
        <w:ind w:firstLine="480"/>
        <w:jc w:val="left"/>
      </w:pPr>
      <w:r>
        <w:rPr>
          <w:rFonts w:hint="eastAsia"/>
        </w:rPr>
        <w:t xml:space="preserve">   </w:t>
      </w:r>
      <w:r>
        <w:t xml:space="preserve">                                   </w:t>
      </w:r>
      <w:r>
        <w:rPr>
          <w:rFonts w:hint="eastAsia"/>
        </w:rPr>
        <w:t xml:space="preserve">        </w:t>
      </w:r>
      <w:r>
        <w:t xml:space="preserve"> </w:t>
      </w:r>
      <w:r>
        <w:rPr>
          <w:rFonts w:hint="eastAsia"/>
        </w:rPr>
        <w:t>公   章</w:t>
      </w:r>
    </w:p>
    <w:p>
      <w:pPr>
        <w:ind w:firstLine="240" w:firstLineChars="100"/>
        <w:jc w:val="left"/>
      </w:pPr>
    </w:p>
    <w:p>
      <w:pPr>
        <w:ind w:right="240" w:firstLine="237" w:firstLineChars="99"/>
        <w:jc w:val="left"/>
      </w:pPr>
      <w:r>
        <w:rPr>
          <w:rFonts w:hint="eastAsia"/>
        </w:rPr>
        <w:t>经 办 人：                                      年    月    日</w:t>
      </w:r>
    </w:p>
    <w:p>
      <w:pPr>
        <w:ind w:firstLine="237" w:firstLineChars="99"/>
        <w:jc w:val="left"/>
      </w:pPr>
    </w:p>
    <w:p>
      <w:pPr>
        <w:ind w:firstLine="237" w:firstLineChars="99"/>
        <w:jc w:val="left"/>
      </w:pPr>
    </w:p>
    <w:p>
      <w:pPr>
        <w:spacing w:beforeLines="100" w:line="420" w:lineRule="exact"/>
        <w:ind w:firstLine="643"/>
        <w:jc w:val="center"/>
        <w:rPr>
          <w:b/>
          <w:sz w:val="28"/>
        </w:rPr>
      </w:pPr>
      <w:r>
        <w:rPr>
          <w:b/>
          <w:sz w:val="32"/>
        </w:rPr>
        <w:t>注    释</w:t>
      </w:r>
    </w:p>
    <w:p>
      <w:pPr>
        <w:spacing w:line="410" w:lineRule="exact"/>
        <w:ind w:firstLine="481" w:firstLineChars="171"/>
        <w:jc w:val="left"/>
        <w:rPr>
          <w:b/>
          <w:sz w:val="28"/>
        </w:rPr>
      </w:pPr>
      <w:r>
        <w:rPr>
          <w:b/>
          <w:sz w:val="28"/>
        </w:rPr>
        <w:t>一、本报告表应附以下附件、附图：</w:t>
      </w:r>
    </w:p>
    <w:p>
      <w:pPr>
        <w:spacing w:line="410" w:lineRule="exact"/>
        <w:ind w:firstLine="1161" w:firstLineChars="482"/>
        <w:jc w:val="left"/>
        <w:rPr>
          <w:b/>
        </w:rPr>
      </w:pPr>
      <w:r>
        <w:rPr>
          <w:b/>
        </w:rPr>
        <w:t xml:space="preserve">附图1  </w:t>
      </w:r>
      <w:r>
        <w:rPr>
          <w:rFonts w:hint="eastAsia"/>
          <w:b/>
        </w:rPr>
        <w:t>区域位置图</w:t>
      </w:r>
    </w:p>
    <w:p>
      <w:pPr>
        <w:spacing w:line="410" w:lineRule="exact"/>
        <w:ind w:firstLine="1161" w:firstLineChars="482"/>
        <w:jc w:val="left"/>
        <w:rPr>
          <w:b/>
        </w:rPr>
      </w:pPr>
      <w:r>
        <w:rPr>
          <w:b/>
        </w:rPr>
        <w:t>附图2  项目地理位置图</w:t>
      </w:r>
    </w:p>
    <w:p>
      <w:pPr>
        <w:spacing w:line="410" w:lineRule="exact"/>
        <w:ind w:firstLine="1161" w:firstLineChars="482"/>
        <w:jc w:val="left"/>
        <w:rPr>
          <w:b/>
        </w:rPr>
      </w:pPr>
      <w:r>
        <w:rPr>
          <w:b/>
        </w:rPr>
        <w:t xml:space="preserve">附图3  </w:t>
      </w:r>
      <w:r>
        <w:rPr>
          <w:rFonts w:hint="eastAsia"/>
          <w:b/>
        </w:rPr>
        <w:t>项目四邻关系图</w:t>
      </w:r>
    </w:p>
    <w:p>
      <w:pPr>
        <w:spacing w:line="410" w:lineRule="exact"/>
        <w:ind w:firstLine="1161" w:firstLineChars="482"/>
        <w:jc w:val="left"/>
        <w:rPr>
          <w:b/>
        </w:rPr>
      </w:pPr>
      <w:r>
        <w:rPr>
          <w:b/>
        </w:rPr>
        <w:t>附图</w:t>
      </w:r>
      <w:r>
        <w:rPr>
          <w:rFonts w:hint="eastAsia"/>
          <w:b/>
        </w:rPr>
        <w:t>4</w:t>
      </w:r>
      <w:r>
        <w:rPr>
          <w:b/>
        </w:rPr>
        <w:t xml:space="preserve">  </w:t>
      </w:r>
      <w:r>
        <w:rPr>
          <w:rFonts w:hint="eastAsia"/>
          <w:b/>
        </w:rPr>
        <w:t>五台县土地利用总体规划图（本项目所涉部分）图</w:t>
      </w:r>
    </w:p>
    <w:p>
      <w:pPr>
        <w:spacing w:line="410" w:lineRule="exact"/>
        <w:ind w:firstLine="1161" w:firstLineChars="482"/>
        <w:jc w:val="left"/>
        <w:rPr>
          <w:b/>
        </w:rPr>
      </w:pPr>
      <w:r>
        <w:rPr>
          <w:b/>
        </w:rPr>
        <w:t>附图</w:t>
      </w:r>
      <w:r>
        <w:rPr>
          <w:rFonts w:hint="eastAsia"/>
          <w:b/>
        </w:rPr>
        <w:t>5</w:t>
      </w:r>
      <w:r>
        <w:rPr>
          <w:b/>
        </w:rPr>
        <w:t xml:space="preserve">  </w:t>
      </w:r>
      <w:r>
        <w:rPr>
          <w:rFonts w:hint="eastAsia"/>
          <w:b/>
        </w:rPr>
        <w:t>项目基本农田补划位置图</w:t>
      </w:r>
    </w:p>
    <w:p>
      <w:pPr>
        <w:spacing w:line="410" w:lineRule="exact"/>
        <w:ind w:firstLine="1161" w:firstLineChars="482"/>
        <w:jc w:val="left"/>
        <w:rPr>
          <w:b/>
        </w:rPr>
      </w:pPr>
      <w:r>
        <w:rPr>
          <w:b/>
        </w:rPr>
        <w:t>附图</w:t>
      </w:r>
      <w:r>
        <w:rPr>
          <w:rFonts w:hint="eastAsia"/>
          <w:b/>
        </w:rPr>
        <w:t>6</w:t>
      </w:r>
      <w:r>
        <w:rPr>
          <w:b/>
        </w:rPr>
        <w:t xml:space="preserve">  </w:t>
      </w:r>
      <w:r>
        <w:rPr>
          <w:rFonts w:hint="eastAsia"/>
          <w:b/>
        </w:rPr>
        <w:t>平面布置图图</w:t>
      </w:r>
    </w:p>
    <w:p>
      <w:pPr>
        <w:spacing w:line="410" w:lineRule="exact"/>
        <w:ind w:firstLine="1161" w:firstLineChars="482"/>
        <w:jc w:val="left"/>
        <w:rPr>
          <w:b/>
        </w:rPr>
      </w:pPr>
      <w:r>
        <w:rPr>
          <w:rFonts w:hint="eastAsia"/>
          <w:b/>
        </w:rPr>
        <w:t>附图7  地表水系图</w:t>
      </w:r>
    </w:p>
    <w:p>
      <w:pPr>
        <w:spacing w:line="410" w:lineRule="exact"/>
        <w:ind w:firstLine="1161" w:firstLineChars="482"/>
        <w:jc w:val="left"/>
        <w:rPr>
          <w:b/>
        </w:rPr>
      </w:pPr>
      <w:r>
        <w:rPr>
          <w:b/>
        </w:rPr>
        <w:t>附图</w:t>
      </w:r>
      <w:r>
        <w:rPr>
          <w:rFonts w:hint="eastAsia"/>
          <w:b/>
        </w:rPr>
        <w:t>8</w:t>
      </w:r>
      <w:r>
        <w:rPr>
          <w:b/>
        </w:rPr>
        <w:t xml:space="preserve">  </w:t>
      </w:r>
      <w:r>
        <w:rPr>
          <w:rFonts w:hint="eastAsia"/>
          <w:b/>
        </w:rPr>
        <w:t>五台山风景名胜区总体规划图</w:t>
      </w:r>
    </w:p>
    <w:p>
      <w:pPr>
        <w:spacing w:line="410" w:lineRule="exact"/>
        <w:ind w:firstLine="1161" w:firstLineChars="482"/>
        <w:jc w:val="left"/>
        <w:rPr>
          <w:b/>
        </w:rPr>
      </w:pPr>
      <w:r>
        <w:rPr>
          <w:b/>
        </w:rPr>
        <w:t>附件1：环境影响评价委托书</w:t>
      </w:r>
    </w:p>
    <w:p>
      <w:pPr>
        <w:spacing w:line="410" w:lineRule="exact"/>
        <w:ind w:firstLine="1161" w:firstLineChars="482"/>
        <w:jc w:val="left"/>
        <w:rPr>
          <w:b/>
        </w:rPr>
      </w:pPr>
      <w:r>
        <w:rPr>
          <w:b/>
        </w:rPr>
        <w:t>附件2：</w:t>
      </w:r>
      <w:r>
        <w:rPr>
          <w:rFonts w:hint="eastAsia"/>
          <w:b/>
        </w:rPr>
        <w:t>备案文件</w:t>
      </w:r>
    </w:p>
    <w:p>
      <w:pPr>
        <w:spacing w:line="410" w:lineRule="exact"/>
        <w:ind w:firstLine="1161" w:firstLineChars="482"/>
        <w:jc w:val="left"/>
        <w:rPr>
          <w:b/>
        </w:rPr>
      </w:pPr>
      <w:r>
        <w:rPr>
          <w:b/>
        </w:rPr>
        <w:t>附件</w:t>
      </w:r>
      <w:r>
        <w:rPr>
          <w:rFonts w:hint="eastAsia"/>
          <w:b/>
        </w:rPr>
        <w:t>3</w:t>
      </w:r>
      <w:r>
        <w:rPr>
          <w:b/>
        </w:rPr>
        <w:t>：</w:t>
      </w:r>
      <w:r>
        <w:rPr>
          <w:rFonts w:hint="eastAsia"/>
          <w:b/>
        </w:rPr>
        <w:t>与项目行政管理有关的文件</w:t>
      </w:r>
    </w:p>
    <w:p>
      <w:pPr>
        <w:spacing w:line="410" w:lineRule="exact"/>
        <w:ind w:firstLine="1161" w:firstLineChars="482"/>
        <w:jc w:val="left"/>
        <w:rPr>
          <w:b/>
        </w:rPr>
      </w:pPr>
      <w:r>
        <w:rPr>
          <w:rFonts w:hint="eastAsia"/>
          <w:b/>
        </w:rPr>
        <w:t>附表： 环评审批基础信息表</w:t>
      </w:r>
    </w:p>
    <w:p>
      <w:pPr>
        <w:pStyle w:val="20"/>
        <w:spacing w:line="410" w:lineRule="exact"/>
        <w:ind w:firstLine="482"/>
        <w:rPr>
          <w:b/>
        </w:rPr>
      </w:pPr>
      <w:r>
        <w:rPr>
          <w:b/>
        </w:rPr>
        <w:t>二、如果本报告表不能说明项目产生的污染及对环境造成的影响，应进行专项评价。根据建设项目的特点和当地环境特征，应选下列1—2项进行专项评价。</w:t>
      </w:r>
    </w:p>
    <w:p>
      <w:pPr>
        <w:spacing w:line="410" w:lineRule="exact"/>
        <w:ind w:left="570" w:firstLine="482"/>
        <w:rPr>
          <w:b/>
        </w:rPr>
      </w:pPr>
      <w:r>
        <w:rPr>
          <w:b/>
        </w:rPr>
        <w:t>1．大气环境影响专项评价</w:t>
      </w:r>
    </w:p>
    <w:p>
      <w:pPr>
        <w:spacing w:line="410" w:lineRule="exact"/>
        <w:ind w:left="570" w:firstLine="482"/>
        <w:rPr>
          <w:b/>
        </w:rPr>
      </w:pPr>
      <w:r>
        <w:rPr>
          <w:b/>
        </w:rPr>
        <w:t>2．水环境影响专项评价（包括地表水和地下水）</w:t>
      </w:r>
    </w:p>
    <w:p>
      <w:pPr>
        <w:spacing w:line="410" w:lineRule="exact"/>
        <w:ind w:left="570" w:firstLine="482"/>
        <w:rPr>
          <w:b/>
        </w:rPr>
      </w:pPr>
      <w:r>
        <w:rPr>
          <w:b/>
        </w:rPr>
        <w:t>3．生态影响专项评价</w:t>
      </w:r>
    </w:p>
    <w:p>
      <w:pPr>
        <w:spacing w:line="410" w:lineRule="exact"/>
        <w:ind w:left="570" w:firstLine="482"/>
        <w:rPr>
          <w:b/>
        </w:rPr>
      </w:pPr>
      <w:r>
        <w:rPr>
          <w:b/>
        </w:rPr>
        <w:t>4．声影响专项评价</w:t>
      </w:r>
    </w:p>
    <w:p>
      <w:pPr>
        <w:spacing w:line="410" w:lineRule="exact"/>
        <w:ind w:left="569" w:firstLine="482"/>
        <w:rPr>
          <w:b/>
        </w:rPr>
      </w:pPr>
      <w:r>
        <w:rPr>
          <w:b/>
        </w:rPr>
        <w:t>5．土壤影响专项评价</w:t>
      </w:r>
    </w:p>
    <w:p>
      <w:pPr>
        <w:spacing w:line="410" w:lineRule="exact"/>
        <w:ind w:firstLine="1043" w:firstLineChars="433"/>
        <w:rPr>
          <w:b/>
        </w:rPr>
      </w:pPr>
      <w:r>
        <w:rPr>
          <w:b/>
        </w:rPr>
        <w:t>6．固体废弃物影响专项评价</w:t>
      </w:r>
    </w:p>
    <w:p>
      <w:pPr>
        <w:spacing w:line="410" w:lineRule="exact"/>
        <w:ind w:left="569" w:firstLine="482"/>
        <w:rPr>
          <w:b/>
        </w:rPr>
      </w:pPr>
      <w:r>
        <w:rPr>
          <w:b/>
        </w:rPr>
        <w:t>以上专项评价未包括的可另列专项，专项评价按照《环境影响评价</w:t>
      </w:r>
    </w:p>
    <w:p>
      <w:pPr>
        <w:ind w:firstLine="239" w:firstLineChars="99"/>
        <w:jc w:val="left"/>
        <w:rPr>
          <w:b/>
        </w:rPr>
      </w:pPr>
      <w:r>
        <w:rPr>
          <w:b/>
        </w:rPr>
        <w:t>技术导则》中的要求进行。</w:t>
      </w:r>
    </w:p>
    <w:sectPr>
      <w:headerReference r:id="rId24" w:type="default"/>
      <w:pgSz w:w="11906" w:h="16838"/>
      <w:pgMar w:top="1701" w:right="1701" w:bottom="1701" w:left="1701" w:header="851" w:footer="992" w:gutter="0"/>
      <w:pgBorders>
        <w:top w:val="single" w:color="auto" w:sz="12" w:space="1"/>
        <w:left w:val="single" w:color="auto" w:sz="12" w:space="5"/>
        <w:bottom w:val="single" w:color="auto" w:sz="12" w:space="1"/>
        <w:right w:val="single" w:color="auto" w:sz="12" w:space="5"/>
      </w:pgBorders>
      <w:cols w:space="425" w:num="1"/>
      <w:docGrid w:linePitch="387"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黑体"/>
    <w:panose1 w:val="00000000000000000000"/>
    <w:charset w:val="86"/>
    <w:family w:val="auto"/>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ISOCT">
    <w:altName w:val="Segoe Print"/>
    <w:panose1 w:val="00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文鼎大标宋简">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separate"/>
    </w:r>
    <w:r>
      <w:rPr>
        <w:rStyle w:val="57"/>
      </w:rPr>
      <w:t>35</w:t>
    </w:r>
    <w:r>
      <w:rPr>
        <w:rStyle w:val="57"/>
      </w:rPr>
      <w:fldChar w:fldCharType="end"/>
    </w:r>
  </w:p>
  <w:p>
    <w:pPr>
      <w:pStyle w:val="30"/>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pPr>
    <w:r>
      <w:fldChar w:fldCharType="begin"/>
    </w:r>
    <w:r>
      <w:instrText xml:space="preserve">PAGE   \* MERGEFORMAT</w:instrText>
    </w:r>
    <w:r>
      <w:fldChar w:fldCharType="separate"/>
    </w:r>
    <w:r>
      <w:rPr>
        <w:lang w:val="zh-CN"/>
      </w:rPr>
      <w:t>5</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separate"/>
    </w:r>
    <w:r>
      <w:rPr>
        <w:rStyle w:val="57"/>
      </w:rPr>
      <w:t>26</w:t>
    </w:r>
    <w:r>
      <w:rPr>
        <w:rStyle w:val="57"/>
      </w:rPr>
      <w:fldChar w:fldCharType="end"/>
    </w:r>
  </w:p>
  <w:p>
    <w:pPr>
      <w:pStyle w:val="30"/>
      <w:ind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firstLine="360"/>
      <w:rPr>
        <w:rStyle w:val="57"/>
      </w:rPr>
    </w:pPr>
    <w:r>
      <w:rPr>
        <w:rStyle w:val="57"/>
      </w:rPr>
      <w:fldChar w:fldCharType="begin"/>
    </w:r>
    <w:r>
      <w:rPr>
        <w:rStyle w:val="57"/>
      </w:rPr>
      <w:instrText xml:space="preserve">PAGE  </w:instrText>
    </w:r>
    <w:r>
      <w:rPr>
        <w:rStyle w:val="57"/>
      </w:rPr>
      <w:fldChar w:fldCharType="end"/>
    </w:r>
  </w:p>
  <w:p>
    <w:pPr>
      <w:pStyle w:val="3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0" w:firstLineChars="0"/>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A672C"/>
    <w:multiLevelType w:val="multilevel"/>
    <w:tmpl w:val="213A672C"/>
    <w:lvl w:ilvl="0" w:tentative="0">
      <w:start w:val="1"/>
      <w:numFmt w:val="decimal"/>
      <w:pStyle w:val="100"/>
      <w:lvlText w:val="（%1）"/>
      <w:lvlJc w:val="left"/>
      <w:pPr>
        <w:tabs>
          <w:tab w:val="left" w:pos="1290"/>
        </w:tabs>
        <w:ind w:left="1290" w:hanging="7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566E29C7"/>
    <w:multiLevelType w:val="singleLevel"/>
    <w:tmpl w:val="566E29C7"/>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alignBordersAndEdges w:val="1"/>
  <w:bordersDoNotSurroundHeader w:val="1"/>
  <w:bordersDoNotSurroundFooter w:val="1"/>
  <w:hideSpellingErrors/>
  <w:hideGrammaticalErrors/>
  <w:documentProtection w:enforcement="0"/>
  <w:defaultTabStop w:val="420"/>
  <w:drawingGridHorizontalSpacing w:val="3"/>
  <w:drawingGridVerticalSpacing w:val="4"/>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31ED"/>
    <w:rsid w:val="000000FE"/>
    <w:rsid w:val="000004B7"/>
    <w:rsid w:val="00000B75"/>
    <w:rsid w:val="00000C24"/>
    <w:rsid w:val="00000E8F"/>
    <w:rsid w:val="00001153"/>
    <w:rsid w:val="00001882"/>
    <w:rsid w:val="00002107"/>
    <w:rsid w:val="0000219F"/>
    <w:rsid w:val="000021BE"/>
    <w:rsid w:val="000026EC"/>
    <w:rsid w:val="000028FC"/>
    <w:rsid w:val="00002971"/>
    <w:rsid w:val="00003398"/>
    <w:rsid w:val="000034A7"/>
    <w:rsid w:val="00003663"/>
    <w:rsid w:val="000039CF"/>
    <w:rsid w:val="0000425F"/>
    <w:rsid w:val="00004499"/>
    <w:rsid w:val="00004E53"/>
    <w:rsid w:val="00004E98"/>
    <w:rsid w:val="00005B3E"/>
    <w:rsid w:val="00005BAF"/>
    <w:rsid w:val="00005CB4"/>
    <w:rsid w:val="00005F6B"/>
    <w:rsid w:val="000061FC"/>
    <w:rsid w:val="00006273"/>
    <w:rsid w:val="0000687D"/>
    <w:rsid w:val="00006F5B"/>
    <w:rsid w:val="0000708D"/>
    <w:rsid w:val="00007208"/>
    <w:rsid w:val="0000731F"/>
    <w:rsid w:val="000073F7"/>
    <w:rsid w:val="00007930"/>
    <w:rsid w:val="00007B10"/>
    <w:rsid w:val="00007CA3"/>
    <w:rsid w:val="00007EE4"/>
    <w:rsid w:val="00007F66"/>
    <w:rsid w:val="000100C0"/>
    <w:rsid w:val="0001018A"/>
    <w:rsid w:val="00010228"/>
    <w:rsid w:val="000103C6"/>
    <w:rsid w:val="0001065D"/>
    <w:rsid w:val="000108A4"/>
    <w:rsid w:val="0001092B"/>
    <w:rsid w:val="000109B7"/>
    <w:rsid w:val="00011131"/>
    <w:rsid w:val="000117D7"/>
    <w:rsid w:val="00011929"/>
    <w:rsid w:val="00011AD9"/>
    <w:rsid w:val="00011AE9"/>
    <w:rsid w:val="00011B84"/>
    <w:rsid w:val="000121FA"/>
    <w:rsid w:val="00012D97"/>
    <w:rsid w:val="00012EDB"/>
    <w:rsid w:val="000133DB"/>
    <w:rsid w:val="00013537"/>
    <w:rsid w:val="00013581"/>
    <w:rsid w:val="00014D72"/>
    <w:rsid w:val="00014E58"/>
    <w:rsid w:val="00014E7A"/>
    <w:rsid w:val="00014F8B"/>
    <w:rsid w:val="000156CA"/>
    <w:rsid w:val="0001600E"/>
    <w:rsid w:val="000170A9"/>
    <w:rsid w:val="00017481"/>
    <w:rsid w:val="00017846"/>
    <w:rsid w:val="00017D1D"/>
    <w:rsid w:val="00017ED7"/>
    <w:rsid w:val="000202A8"/>
    <w:rsid w:val="000202E9"/>
    <w:rsid w:val="000204A3"/>
    <w:rsid w:val="000206B4"/>
    <w:rsid w:val="00020768"/>
    <w:rsid w:val="0002099C"/>
    <w:rsid w:val="00020AA0"/>
    <w:rsid w:val="00020E84"/>
    <w:rsid w:val="000212A0"/>
    <w:rsid w:val="00021579"/>
    <w:rsid w:val="00021789"/>
    <w:rsid w:val="00021E7A"/>
    <w:rsid w:val="00021FAB"/>
    <w:rsid w:val="000223F4"/>
    <w:rsid w:val="00023B0A"/>
    <w:rsid w:val="000241F3"/>
    <w:rsid w:val="00024502"/>
    <w:rsid w:val="00024702"/>
    <w:rsid w:val="0002495F"/>
    <w:rsid w:val="00024965"/>
    <w:rsid w:val="00024ED3"/>
    <w:rsid w:val="00024FD5"/>
    <w:rsid w:val="0002523B"/>
    <w:rsid w:val="0002558E"/>
    <w:rsid w:val="0002574F"/>
    <w:rsid w:val="000259BB"/>
    <w:rsid w:val="00026164"/>
    <w:rsid w:val="00026F0B"/>
    <w:rsid w:val="00027F75"/>
    <w:rsid w:val="00030DBB"/>
    <w:rsid w:val="00031846"/>
    <w:rsid w:val="00032703"/>
    <w:rsid w:val="000328D9"/>
    <w:rsid w:val="000330B2"/>
    <w:rsid w:val="00033195"/>
    <w:rsid w:val="00033305"/>
    <w:rsid w:val="00033525"/>
    <w:rsid w:val="0003365F"/>
    <w:rsid w:val="00033E57"/>
    <w:rsid w:val="00033E65"/>
    <w:rsid w:val="0003407B"/>
    <w:rsid w:val="00034086"/>
    <w:rsid w:val="0003427D"/>
    <w:rsid w:val="0003461C"/>
    <w:rsid w:val="00034748"/>
    <w:rsid w:val="00034916"/>
    <w:rsid w:val="00034AB6"/>
    <w:rsid w:val="000357A4"/>
    <w:rsid w:val="00035982"/>
    <w:rsid w:val="00036800"/>
    <w:rsid w:val="00036982"/>
    <w:rsid w:val="00036AAD"/>
    <w:rsid w:val="00036FDB"/>
    <w:rsid w:val="00037481"/>
    <w:rsid w:val="00037825"/>
    <w:rsid w:val="00037BFB"/>
    <w:rsid w:val="0004007D"/>
    <w:rsid w:val="000401AC"/>
    <w:rsid w:val="000404CA"/>
    <w:rsid w:val="00040A08"/>
    <w:rsid w:val="000414D8"/>
    <w:rsid w:val="000416D9"/>
    <w:rsid w:val="000419BE"/>
    <w:rsid w:val="00042006"/>
    <w:rsid w:val="0004256F"/>
    <w:rsid w:val="00042616"/>
    <w:rsid w:val="0004344C"/>
    <w:rsid w:val="000434CE"/>
    <w:rsid w:val="00043D53"/>
    <w:rsid w:val="00043E74"/>
    <w:rsid w:val="00044038"/>
    <w:rsid w:val="000441B1"/>
    <w:rsid w:val="00045EDC"/>
    <w:rsid w:val="000460B9"/>
    <w:rsid w:val="000461D3"/>
    <w:rsid w:val="00046D1B"/>
    <w:rsid w:val="0004736C"/>
    <w:rsid w:val="0004758B"/>
    <w:rsid w:val="000500D5"/>
    <w:rsid w:val="000500E9"/>
    <w:rsid w:val="00050481"/>
    <w:rsid w:val="00050758"/>
    <w:rsid w:val="00050AF7"/>
    <w:rsid w:val="00050C31"/>
    <w:rsid w:val="00050D57"/>
    <w:rsid w:val="00050DB8"/>
    <w:rsid w:val="000511FD"/>
    <w:rsid w:val="000512E2"/>
    <w:rsid w:val="00051B9A"/>
    <w:rsid w:val="00052402"/>
    <w:rsid w:val="0005295A"/>
    <w:rsid w:val="00052CF2"/>
    <w:rsid w:val="0005359B"/>
    <w:rsid w:val="00053A93"/>
    <w:rsid w:val="00053B78"/>
    <w:rsid w:val="00053F68"/>
    <w:rsid w:val="000542B1"/>
    <w:rsid w:val="000544C8"/>
    <w:rsid w:val="00054CFA"/>
    <w:rsid w:val="00055117"/>
    <w:rsid w:val="000551C2"/>
    <w:rsid w:val="0005542C"/>
    <w:rsid w:val="0005572C"/>
    <w:rsid w:val="00055DB4"/>
    <w:rsid w:val="00055E02"/>
    <w:rsid w:val="00055F63"/>
    <w:rsid w:val="000561F9"/>
    <w:rsid w:val="00056366"/>
    <w:rsid w:val="000563D0"/>
    <w:rsid w:val="00056BA9"/>
    <w:rsid w:val="00057117"/>
    <w:rsid w:val="0005717B"/>
    <w:rsid w:val="000572E1"/>
    <w:rsid w:val="00057C57"/>
    <w:rsid w:val="00060793"/>
    <w:rsid w:val="00060902"/>
    <w:rsid w:val="0006116E"/>
    <w:rsid w:val="00061282"/>
    <w:rsid w:val="00061449"/>
    <w:rsid w:val="000615D9"/>
    <w:rsid w:val="00061B11"/>
    <w:rsid w:val="00061B24"/>
    <w:rsid w:val="0006240D"/>
    <w:rsid w:val="00062560"/>
    <w:rsid w:val="0006273B"/>
    <w:rsid w:val="0006473F"/>
    <w:rsid w:val="00064AC9"/>
    <w:rsid w:val="00064D00"/>
    <w:rsid w:val="00064D21"/>
    <w:rsid w:val="000653F3"/>
    <w:rsid w:val="000655B1"/>
    <w:rsid w:val="00066851"/>
    <w:rsid w:val="00066BC5"/>
    <w:rsid w:val="00066D6F"/>
    <w:rsid w:val="00066DC3"/>
    <w:rsid w:val="00067032"/>
    <w:rsid w:val="00067166"/>
    <w:rsid w:val="0006742C"/>
    <w:rsid w:val="00067BB2"/>
    <w:rsid w:val="0007041F"/>
    <w:rsid w:val="00070BA4"/>
    <w:rsid w:val="00070EFF"/>
    <w:rsid w:val="00070F05"/>
    <w:rsid w:val="00071620"/>
    <w:rsid w:val="00071A61"/>
    <w:rsid w:val="00071B21"/>
    <w:rsid w:val="00071D8F"/>
    <w:rsid w:val="00072E29"/>
    <w:rsid w:val="00072E62"/>
    <w:rsid w:val="00072FB9"/>
    <w:rsid w:val="00073520"/>
    <w:rsid w:val="00073649"/>
    <w:rsid w:val="000737CF"/>
    <w:rsid w:val="0007394E"/>
    <w:rsid w:val="00073D8B"/>
    <w:rsid w:val="00074184"/>
    <w:rsid w:val="0007453F"/>
    <w:rsid w:val="00074818"/>
    <w:rsid w:val="00074BF0"/>
    <w:rsid w:val="00074D76"/>
    <w:rsid w:val="00074F8E"/>
    <w:rsid w:val="00075501"/>
    <w:rsid w:val="00076694"/>
    <w:rsid w:val="0007688E"/>
    <w:rsid w:val="000768A1"/>
    <w:rsid w:val="000768F6"/>
    <w:rsid w:val="00076ADE"/>
    <w:rsid w:val="00076F1D"/>
    <w:rsid w:val="00076F25"/>
    <w:rsid w:val="0007783D"/>
    <w:rsid w:val="00077C8B"/>
    <w:rsid w:val="00077DCC"/>
    <w:rsid w:val="00080367"/>
    <w:rsid w:val="0008064B"/>
    <w:rsid w:val="00081021"/>
    <w:rsid w:val="0008140D"/>
    <w:rsid w:val="00081426"/>
    <w:rsid w:val="00081451"/>
    <w:rsid w:val="000824FA"/>
    <w:rsid w:val="00082C7F"/>
    <w:rsid w:val="00082DE7"/>
    <w:rsid w:val="00082FB4"/>
    <w:rsid w:val="000832EA"/>
    <w:rsid w:val="00083C9E"/>
    <w:rsid w:val="000843DD"/>
    <w:rsid w:val="0008456E"/>
    <w:rsid w:val="00084798"/>
    <w:rsid w:val="00084A76"/>
    <w:rsid w:val="00084CE1"/>
    <w:rsid w:val="00084CE6"/>
    <w:rsid w:val="00084D88"/>
    <w:rsid w:val="000853AF"/>
    <w:rsid w:val="00085B6B"/>
    <w:rsid w:val="000861C4"/>
    <w:rsid w:val="00086361"/>
    <w:rsid w:val="00086545"/>
    <w:rsid w:val="00086632"/>
    <w:rsid w:val="00086853"/>
    <w:rsid w:val="00086893"/>
    <w:rsid w:val="00086AB7"/>
    <w:rsid w:val="00086D6B"/>
    <w:rsid w:val="000870AB"/>
    <w:rsid w:val="000870E4"/>
    <w:rsid w:val="000872B7"/>
    <w:rsid w:val="00087A97"/>
    <w:rsid w:val="00087E46"/>
    <w:rsid w:val="00087E8D"/>
    <w:rsid w:val="00090039"/>
    <w:rsid w:val="00090419"/>
    <w:rsid w:val="00091141"/>
    <w:rsid w:val="000915F2"/>
    <w:rsid w:val="00091C66"/>
    <w:rsid w:val="00092260"/>
    <w:rsid w:val="00092603"/>
    <w:rsid w:val="00093154"/>
    <w:rsid w:val="000939D5"/>
    <w:rsid w:val="00093BBA"/>
    <w:rsid w:val="00093D78"/>
    <w:rsid w:val="00094088"/>
    <w:rsid w:val="0009427A"/>
    <w:rsid w:val="00094A9B"/>
    <w:rsid w:val="00094AA6"/>
    <w:rsid w:val="000956CF"/>
    <w:rsid w:val="000959DA"/>
    <w:rsid w:val="00096423"/>
    <w:rsid w:val="00096D4B"/>
    <w:rsid w:val="00096F44"/>
    <w:rsid w:val="0009710E"/>
    <w:rsid w:val="00097CBF"/>
    <w:rsid w:val="000A001A"/>
    <w:rsid w:val="000A069D"/>
    <w:rsid w:val="000A0786"/>
    <w:rsid w:val="000A09D7"/>
    <w:rsid w:val="000A0D61"/>
    <w:rsid w:val="000A0DF6"/>
    <w:rsid w:val="000A0F8A"/>
    <w:rsid w:val="000A1003"/>
    <w:rsid w:val="000A1495"/>
    <w:rsid w:val="000A1894"/>
    <w:rsid w:val="000A2595"/>
    <w:rsid w:val="000A2ABA"/>
    <w:rsid w:val="000A3178"/>
    <w:rsid w:val="000A31CD"/>
    <w:rsid w:val="000A323A"/>
    <w:rsid w:val="000A36A5"/>
    <w:rsid w:val="000A3820"/>
    <w:rsid w:val="000A3D59"/>
    <w:rsid w:val="000A3DB4"/>
    <w:rsid w:val="000A42CB"/>
    <w:rsid w:val="000A47D8"/>
    <w:rsid w:val="000A4C95"/>
    <w:rsid w:val="000A5060"/>
    <w:rsid w:val="000A5922"/>
    <w:rsid w:val="000A5A44"/>
    <w:rsid w:val="000A5CF3"/>
    <w:rsid w:val="000A6078"/>
    <w:rsid w:val="000A6181"/>
    <w:rsid w:val="000A65AD"/>
    <w:rsid w:val="000A6AE5"/>
    <w:rsid w:val="000A704B"/>
    <w:rsid w:val="000A730F"/>
    <w:rsid w:val="000A75D6"/>
    <w:rsid w:val="000A7B3A"/>
    <w:rsid w:val="000A7E04"/>
    <w:rsid w:val="000A7EDD"/>
    <w:rsid w:val="000B0100"/>
    <w:rsid w:val="000B0815"/>
    <w:rsid w:val="000B1C65"/>
    <w:rsid w:val="000B1DE9"/>
    <w:rsid w:val="000B1DFB"/>
    <w:rsid w:val="000B255F"/>
    <w:rsid w:val="000B2CA0"/>
    <w:rsid w:val="000B2FAC"/>
    <w:rsid w:val="000B3091"/>
    <w:rsid w:val="000B3D3F"/>
    <w:rsid w:val="000B3EDA"/>
    <w:rsid w:val="000B3EF1"/>
    <w:rsid w:val="000B3F1B"/>
    <w:rsid w:val="000B445A"/>
    <w:rsid w:val="000B4462"/>
    <w:rsid w:val="000B44C3"/>
    <w:rsid w:val="000B4542"/>
    <w:rsid w:val="000B4657"/>
    <w:rsid w:val="000B54DD"/>
    <w:rsid w:val="000B5663"/>
    <w:rsid w:val="000B6146"/>
    <w:rsid w:val="000B62BD"/>
    <w:rsid w:val="000B7478"/>
    <w:rsid w:val="000B7BE9"/>
    <w:rsid w:val="000B7FC4"/>
    <w:rsid w:val="000C0746"/>
    <w:rsid w:val="000C079C"/>
    <w:rsid w:val="000C0A6A"/>
    <w:rsid w:val="000C0C1C"/>
    <w:rsid w:val="000C119D"/>
    <w:rsid w:val="000C184B"/>
    <w:rsid w:val="000C206F"/>
    <w:rsid w:val="000C263F"/>
    <w:rsid w:val="000C2821"/>
    <w:rsid w:val="000C2855"/>
    <w:rsid w:val="000C303F"/>
    <w:rsid w:val="000C32FB"/>
    <w:rsid w:val="000C33A7"/>
    <w:rsid w:val="000C3E4E"/>
    <w:rsid w:val="000C40C5"/>
    <w:rsid w:val="000C4150"/>
    <w:rsid w:val="000C41E9"/>
    <w:rsid w:val="000C493C"/>
    <w:rsid w:val="000C4A99"/>
    <w:rsid w:val="000C4ABB"/>
    <w:rsid w:val="000C5793"/>
    <w:rsid w:val="000C5B25"/>
    <w:rsid w:val="000C5BC1"/>
    <w:rsid w:val="000C6295"/>
    <w:rsid w:val="000C636D"/>
    <w:rsid w:val="000C656D"/>
    <w:rsid w:val="000C69A1"/>
    <w:rsid w:val="000C6DCE"/>
    <w:rsid w:val="000C77A7"/>
    <w:rsid w:val="000C7ED7"/>
    <w:rsid w:val="000D0012"/>
    <w:rsid w:val="000D0433"/>
    <w:rsid w:val="000D0570"/>
    <w:rsid w:val="000D0B39"/>
    <w:rsid w:val="000D0B9B"/>
    <w:rsid w:val="000D17C9"/>
    <w:rsid w:val="000D23FA"/>
    <w:rsid w:val="000D321C"/>
    <w:rsid w:val="000D3457"/>
    <w:rsid w:val="000D35F6"/>
    <w:rsid w:val="000D3A68"/>
    <w:rsid w:val="000D43DD"/>
    <w:rsid w:val="000D43F7"/>
    <w:rsid w:val="000D579B"/>
    <w:rsid w:val="000D63E2"/>
    <w:rsid w:val="000D72B1"/>
    <w:rsid w:val="000D75E7"/>
    <w:rsid w:val="000D7FCE"/>
    <w:rsid w:val="000E03CC"/>
    <w:rsid w:val="000E06FD"/>
    <w:rsid w:val="000E15AB"/>
    <w:rsid w:val="000E1A76"/>
    <w:rsid w:val="000E1F69"/>
    <w:rsid w:val="000E24C6"/>
    <w:rsid w:val="000E291C"/>
    <w:rsid w:val="000E2D62"/>
    <w:rsid w:val="000E3B50"/>
    <w:rsid w:val="000E3C8C"/>
    <w:rsid w:val="000E416B"/>
    <w:rsid w:val="000E4841"/>
    <w:rsid w:val="000E488D"/>
    <w:rsid w:val="000E4AC1"/>
    <w:rsid w:val="000E4AC5"/>
    <w:rsid w:val="000E4CDA"/>
    <w:rsid w:val="000E5C2F"/>
    <w:rsid w:val="000E5E78"/>
    <w:rsid w:val="000E607F"/>
    <w:rsid w:val="000E6228"/>
    <w:rsid w:val="000E69AB"/>
    <w:rsid w:val="000E6DBC"/>
    <w:rsid w:val="000E7212"/>
    <w:rsid w:val="000E7381"/>
    <w:rsid w:val="000E7464"/>
    <w:rsid w:val="000E753E"/>
    <w:rsid w:val="000E77F5"/>
    <w:rsid w:val="000E7A7B"/>
    <w:rsid w:val="000E7BD6"/>
    <w:rsid w:val="000E7DD6"/>
    <w:rsid w:val="000F016A"/>
    <w:rsid w:val="000F044F"/>
    <w:rsid w:val="000F076C"/>
    <w:rsid w:val="000F0B1B"/>
    <w:rsid w:val="000F138E"/>
    <w:rsid w:val="000F143D"/>
    <w:rsid w:val="000F15AC"/>
    <w:rsid w:val="000F15F3"/>
    <w:rsid w:val="000F1711"/>
    <w:rsid w:val="000F202B"/>
    <w:rsid w:val="000F227D"/>
    <w:rsid w:val="000F2937"/>
    <w:rsid w:val="000F351D"/>
    <w:rsid w:val="000F36C6"/>
    <w:rsid w:val="000F3A26"/>
    <w:rsid w:val="000F3BB3"/>
    <w:rsid w:val="000F3C1E"/>
    <w:rsid w:val="000F3F63"/>
    <w:rsid w:val="000F40DA"/>
    <w:rsid w:val="000F420C"/>
    <w:rsid w:val="000F435D"/>
    <w:rsid w:val="000F48C6"/>
    <w:rsid w:val="000F4B4E"/>
    <w:rsid w:val="000F4FFC"/>
    <w:rsid w:val="000F53AF"/>
    <w:rsid w:val="000F553A"/>
    <w:rsid w:val="000F5A32"/>
    <w:rsid w:val="000F5C18"/>
    <w:rsid w:val="000F6460"/>
    <w:rsid w:val="000F6733"/>
    <w:rsid w:val="000F6DBC"/>
    <w:rsid w:val="000F763E"/>
    <w:rsid w:val="000F76CB"/>
    <w:rsid w:val="000F77A6"/>
    <w:rsid w:val="000F7C27"/>
    <w:rsid w:val="001001D5"/>
    <w:rsid w:val="001003FE"/>
    <w:rsid w:val="001006EE"/>
    <w:rsid w:val="00100973"/>
    <w:rsid w:val="00100A3E"/>
    <w:rsid w:val="001014CE"/>
    <w:rsid w:val="00101617"/>
    <w:rsid w:val="001017B9"/>
    <w:rsid w:val="0010189B"/>
    <w:rsid w:val="00101CA7"/>
    <w:rsid w:val="00101E02"/>
    <w:rsid w:val="00102348"/>
    <w:rsid w:val="00102881"/>
    <w:rsid w:val="00102F4E"/>
    <w:rsid w:val="00103116"/>
    <w:rsid w:val="0010346A"/>
    <w:rsid w:val="0010377F"/>
    <w:rsid w:val="001047CB"/>
    <w:rsid w:val="0010483E"/>
    <w:rsid w:val="001049B1"/>
    <w:rsid w:val="0010515F"/>
    <w:rsid w:val="0010581E"/>
    <w:rsid w:val="00105910"/>
    <w:rsid w:val="0010595E"/>
    <w:rsid w:val="001061C7"/>
    <w:rsid w:val="001066F2"/>
    <w:rsid w:val="0010673C"/>
    <w:rsid w:val="001071F1"/>
    <w:rsid w:val="001074B6"/>
    <w:rsid w:val="00107503"/>
    <w:rsid w:val="00107893"/>
    <w:rsid w:val="00107FB9"/>
    <w:rsid w:val="00110B52"/>
    <w:rsid w:val="00110D54"/>
    <w:rsid w:val="00111959"/>
    <w:rsid w:val="00111F11"/>
    <w:rsid w:val="00111F5A"/>
    <w:rsid w:val="00112130"/>
    <w:rsid w:val="0011247A"/>
    <w:rsid w:val="00112632"/>
    <w:rsid w:val="00112716"/>
    <w:rsid w:val="00112A84"/>
    <w:rsid w:val="00113655"/>
    <w:rsid w:val="00113843"/>
    <w:rsid w:val="00113863"/>
    <w:rsid w:val="00113D55"/>
    <w:rsid w:val="00113DA3"/>
    <w:rsid w:val="00113F9E"/>
    <w:rsid w:val="00114239"/>
    <w:rsid w:val="00114D43"/>
    <w:rsid w:val="00115171"/>
    <w:rsid w:val="0011542E"/>
    <w:rsid w:val="0011544F"/>
    <w:rsid w:val="00115C96"/>
    <w:rsid w:val="00116076"/>
    <w:rsid w:val="00116F81"/>
    <w:rsid w:val="00117201"/>
    <w:rsid w:val="00117821"/>
    <w:rsid w:val="00117AB2"/>
    <w:rsid w:val="00117CE4"/>
    <w:rsid w:val="00117DB7"/>
    <w:rsid w:val="00117E97"/>
    <w:rsid w:val="00120728"/>
    <w:rsid w:val="001207E0"/>
    <w:rsid w:val="00120911"/>
    <w:rsid w:val="00120BCE"/>
    <w:rsid w:val="00120C18"/>
    <w:rsid w:val="00120CA3"/>
    <w:rsid w:val="00121CDB"/>
    <w:rsid w:val="00122ECF"/>
    <w:rsid w:val="00122F52"/>
    <w:rsid w:val="00122F76"/>
    <w:rsid w:val="001234B8"/>
    <w:rsid w:val="00123516"/>
    <w:rsid w:val="0012367F"/>
    <w:rsid w:val="00123F0F"/>
    <w:rsid w:val="001248BC"/>
    <w:rsid w:val="00124F02"/>
    <w:rsid w:val="00125048"/>
    <w:rsid w:val="00125179"/>
    <w:rsid w:val="00126190"/>
    <w:rsid w:val="00126345"/>
    <w:rsid w:val="00127427"/>
    <w:rsid w:val="001274B0"/>
    <w:rsid w:val="00130655"/>
    <w:rsid w:val="00130B92"/>
    <w:rsid w:val="00130C2E"/>
    <w:rsid w:val="00130DD3"/>
    <w:rsid w:val="00131203"/>
    <w:rsid w:val="00131868"/>
    <w:rsid w:val="001319CB"/>
    <w:rsid w:val="00131C04"/>
    <w:rsid w:val="00131F5C"/>
    <w:rsid w:val="00132725"/>
    <w:rsid w:val="0013336B"/>
    <w:rsid w:val="001333AB"/>
    <w:rsid w:val="00133C29"/>
    <w:rsid w:val="00134206"/>
    <w:rsid w:val="00134317"/>
    <w:rsid w:val="001348B9"/>
    <w:rsid w:val="00134B87"/>
    <w:rsid w:val="00134C22"/>
    <w:rsid w:val="00134FF7"/>
    <w:rsid w:val="00135114"/>
    <w:rsid w:val="00135155"/>
    <w:rsid w:val="001356BC"/>
    <w:rsid w:val="001356FE"/>
    <w:rsid w:val="00135A15"/>
    <w:rsid w:val="00135D69"/>
    <w:rsid w:val="00135F52"/>
    <w:rsid w:val="00135F87"/>
    <w:rsid w:val="00136023"/>
    <w:rsid w:val="00136216"/>
    <w:rsid w:val="001364D7"/>
    <w:rsid w:val="00136508"/>
    <w:rsid w:val="0013656B"/>
    <w:rsid w:val="0013679E"/>
    <w:rsid w:val="00136921"/>
    <w:rsid w:val="00137000"/>
    <w:rsid w:val="00137453"/>
    <w:rsid w:val="001402F0"/>
    <w:rsid w:val="00140C75"/>
    <w:rsid w:val="00141411"/>
    <w:rsid w:val="00142039"/>
    <w:rsid w:val="0014274B"/>
    <w:rsid w:val="00143678"/>
    <w:rsid w:val="00143708"/>
    <w:rsid w:val="0014379D"/>
    <w:rsid w:val="00143A99"/>
    <w:rsid w:val="00144AC9"/>
    <w:rsid w:val="00144AE2"/>
    <w:rsid w:val="00144BB3"/>
    <w:rsid w:val="00145B45"/>
    <w:rsid w:val="00145B84"/>
    <w:rsid w:val="00145C0D"/>
    <w:rsid w:val="00145C1F"/>
    <w:rsid w:val="00146D6A"/>
    <w:rsid w:val="001472B0"/>
    <w:rsid w:val="00147793"/>
    <w:rsid w:val="00147B65"/>
    <w:rsid w:val="00147C60"/>
    <w:rsid w:val="001501B2"/>
    <w:rsid w:val="0015064E"/>
    <w:rsid w:val="001508AD"/>
    <w:rsid w:val="00152B24"/>
    <w:rsid w:val="00152C59"/>
    <w:rsid w:val="0015318F"/>
    <w:rsid w:val="00153345"/>
    <w:rsid w:val="001535F0"/>
    <w:rsid w:val="00153B98"/>
    <w:rsid w:val="00153CBA"/>
    <w:rsid w:val="00154DBE"/>
    <w:rsid w:val="001553DD"/>
    <w:rsid w:val="00155B15"/>
    <w:rsid w:val="00155EAB"/>
    <w:rsid w:val="0015669D"/>
    <w:rsid w:val="00156C4A"/>
    <w:rsid w:val="00156CBC"/>
    <w:rsid w:val="0015749E"/>
    <w:rsid w:val="00157514"/>
    <w:rsid w:val="00157A6D"/>
    <w:rsid w:val="00157AB8"/>
    <w:rsid w:val="001601B3"/>
    <w:rsid w:val="0016059F"/>
    <w:rsid w:val="001605C8"/>
    <w:rsid w:val="001606CB"/>
    <w:rsid w:val="001608ED"/>
    <w:rsid w:val="00160AD5"/>
    <w:rsid w:val="00160B70"/>
    <w:rsid w:val="00160D88"/>
    <w:rsid w:val="00161151"/>
    <w:rsid w:val="00161D0A"/>
    <w:rsid w:val="00162165"/>
    <w:rsid w:val="001624D5"/>
    <w:rsid w:val="00162588"/>
    <w:rsid w:val="00162E4F"/>
    <w:rsid w:val="001632DF"/>
    <w:rsid w:val="00163B6E"/>
    <w:rsid w:val="0016406F"/>
    <w:rsid w:val="00164347"/>
    <w:rsid w:val="00164A9E"/>
    <w:rsid w:val="00164BAD"/>
    <w:rsid w:val="00164DD4"/>
    <w:rsid w:val="001659F2"/>
    <w:rsid w:val="00165A4B"/>
    <w:rsid w:val="00166250"/>
    <w:rsid w:val="001667B7"/>
    <w:rsid w:val="00166CB6"/>
    <w:rsid w:val="00170343"/>
    <w:rsid w:val="001704B6"/>
    <w:rsid w:val="00170525"/>
    <w:rsid w:val="00170B3D"/>
    <w:rsid w:val="00170C9C"/>
    <w:rsid w:val="00170EB5"/>
    <w:rsid w:val="00171524"/>
    <w:rsid w:val="00171853"/>
    <w:rsid w:val="00171BC1"/>
    <w:rsid w:val="00171DB5"/>
    <w:rsid w:val="001725F6"/>
    <w:rsid w:val="001727A2"/>
    <w:rsid w:val="00172948"/>
    <w:rsid w:val="00172B5E"/>
    <w:rsid w:val="00172C37"/>
    <w:rsid w:val="00173955"/>
    <w:rsid w:val="00173A50"/>
    <w:rsid w:val="00173C06"/>
    <w:rsid w:val="001743A1"/>
    <w:rsid w:val="0017472F"/>
    <w:rsid w:val="001749F4"/>
    <w:rsid w:val="001750D2"/>
    <w:rsid w:val="001754CD"/>
    <w:rsid w:val="00175855"/>
    <w:rsid w:val="0017694E"/>
    <w:rsid w:val="00177A31"/>
    <w:rsid w:val="001804CB"/>
    <w:rsid w:val="001808F9"/>
    <w:rsid w:val="0018093D"/>
    <w:rsid w:val="00180AD0"/>
    <w:rsid w:val="00180D02"/>
    <w:rsid w:val="001810E3"/>
    <w:rsid w:val="0018112F"/>
    <w:rsid w:val="00181A18"/>
    <w:rsid w:val="00181CB1"/>
    <w:rsid w:val="00181DC8"/>
    <w:rsid w:val="00182053"/>
    <w:rsid w:val="0018276E"/>
    <w:rsid w:val="00182EA6"/>
    <w:rsid w:val="0018308B"/>
    <w:rsid w:val="00183251"/>
    <w:rsid w:val="0018325C"/>
    <w:rsid w:val="00183738"/>
    <w:rsid w:val="0018386F"/>
    <w:rsid w:val="00184106"/>
    <w:rsid w:val="001846B0"/>
    <w:rsid w:val="001849D4"/>
    <w:rsid w:val="00185105"/>
    <w:rsid w:val="001852C2"/>
    <w:rsid w:val="0018572F"/>
    <w:rsid w:val="00185734"/>
    <w:rsid w:val="0018574E"/>
    <w:rsid w:val="00185865"/>
    <w:rsid w:val="00185950"/>
    <w:rsid w:val="001860A4"/>
    <w:rsid w:val="0018650F"/>
    <w:rsid w:val="00186A46"/>
    <w:rsid w:val="00186CF7"/>
    <w:rsid w:val="00186E60"/>
    <w:rsid w:val="00187028"/>
    <w:rsid w:val="00187570"/>
    <w:rsid w:val="001879E6"/>
    <w:rsid w:val="00187D18"/>
    <w:rsid w:val="001900D3"/>
    <w:rsid w:val="00190166"/>
    <w:rsid w:val="00190BAD"/>
    <w:rsid w:val="00191169"/>
    <w:rsid w:val="0019141F"/>
    <w:rsid w:val="001916F6"/>
    <w:rsid w:val="00191722"/>
    <w:rsid w:val="0019181C"/>
    <w:rsid w:val="0019203E"/>
    <w:rsid w:val="00192142"/>
    <w:rsid w:val="00192353"/>
    <w:rsid w:val="001925A5"/>
    <w:rsid w:val="00192C06"/>
    <w:rsid w:val="00192F4C"/>
    <w:rsid w:val="001942FD"/>
    <w:rsid w:val="00194951"/>
    <w:rsid w:val="00194AA1"/>
    <w:rsid w:val="001951FF"/>
    <w:rsid w:val="00195207"/>
    <w:rsid w:val="0019583F"/>
    <w:rsid w:val="001963EC"/>
    <w:rsid w:val="00196AF0"/>
    <w:rsid w:val="00196F47"/>
    <w:rsid w:val="00196F82"/>
    <w:rsid w:val="0019734D"/>
    <w:rsid w:val="00197645"/>
    <w:rsid w:val="0019771E"/>
    <w:rsid w:val="00197DFC"/>
    <w:rsid w:val="00197EAA"/>
    <w:rsid w:val="001A04D8"/>
    <w:rsid w:val="001A07AF"/>
    <w:rsid w:val="001A07E9"/>
    <w:rsid w:val="001A0B0D"/>
    <w:rsid w:val="001A0BBC"/>
    <w:rsid w:val="001A0E7D"/>
    <w:rsid w:val="001A1375"/>
    <w:rsid w:val="001A1606"/>
    <w:rsid w:val="001A185F"/>
    <w:rsid w:val="001A1C68"/>
    <w:rsid w:val="001A1CBC"/>
    <w:rsid w:val="001A204E"/>
    <w:rsid w:val="001A22B9"/>
    <w:rsid w:val="001A240E"/>
    <w:rsid w:val="001A2705"/>
    <w:rsid w:val="001A29F7"/>
    <w:rsid w:val="001A3038"/>
    <w:rsid w:val="001A34E2"/>
    <w:rsid w:val="001A3558"/>
    <w:rsid w:val="001A39E7"/>
    <w:rsid w:val="001A4041"/>
    <w:rsid w:val="001A4604"/>
    <w:rsid w:val="001A4A10"/>
    <w:rsid w:val="001A4DD0"/>
    <w:rsid w:val="001A50CB"/>
    <w:rsid w:val="001A5183"/>
    <w:rsid w:val="001A550A"/>
    <w:rsid w:val="001A5538"/>
    <w:rsid w:val="001A5D3F"/>
    <w:rsid w:val="001A6134"/>
    <w:rsid w:val="001A6444"/>
    <w:rsid w:val="001A64E3"/>
    <w:rsid w:val="001A6707"/>
    <w:rsid w:val="001A6DB7"/>
    <w:rsid w:val="001A70A3"/>
    <w:rsid w:val="001A7DF7"/>
    <w:rsid w:val="001A7EC6"/>
    <w:rsid w:val="001B019A"/>
    <w:rsid w:val="001B077E"/>
    <w:rsid w:val="001B0E47"/>
    <w:rsid w:val="001B130E"/>
    <w:rsid w:val="001B2B82"/>
    <w:rsid w:val="001B3711"/>
    <w:rsid w:val="001B3D39"/>
    <w:rsid w:val="001B40A0"/>
    <w:rsid w:val="001B48D1"/>
    <w:rsid w:val="001B4C63"/>
    <w:rsid w:val="001B53AE"/>
    <w:rsid w:val="001B5506"/>
    <w:rsid w:val="001B578A"/>
    <w:rsid w:val="001B58B1"/>
    <w:rsid w:val="001B606F"/>
    <w:rsid w:val="001B6312"/>
    <w:rsid w:val="001B66B2"/>
    <w:rsid w:val="001B6728"/>
    <w:rsid w:val="001B68D5"/>
    <w:rsid w:val="001B6922"/>
    <w:rsid w:val="001B695E"/>
    <w:rsid w:val="001B6992"/>
    <w:rsid w:val="001B6F49"/>
    <w:rsid w:val="001B71C5"/>
    <w:rsid w:val="001B757B"/>
    <w:rsid w:val="001B7596"/>
    <w:rsid w:val="001C0BCA"/>
    <w:rsid w:val="001C0BE2"/>
    <w:rsid w:val="001C0CDD"/>
    <w:rsid w:val="001C1462"/>
    <w:rsid w:val="001C22EA"/>
    <w:rsid w:val="001C2389"/>
    <w:rsid w:val="001C2419"/>
    <w:rsid w:val="001C243F"/>
    <w:rsid w:val="001C26E8"/>
    <w:rsid w:val="001C279D"/>
    <w:rsid w:val="001C27E3"/>
    <w:rsid w:val="001C327D"/>
    <w:rsid w:val="001C3355"/>
    <w:rsid w:val="001C3722"/>
    <w:rsid w:val="001C3F5A"/>
    <w:rsid w:val="001C4239"/>
    <w:rsid w:val="001C53B5"/>
    <w:rsid w:val="001C545E"/>
    <w:rsid w:val="001C54EC"/>
    <w:rsid w:val="001C560B"/>
    <w:rsid w:val="001C5651"/>
    <w:rsid w:val="001C57C8"/>
    <w:rsid w:val="001C5CA5"/>
    <w:rsid w:val="001C5E77"/>
    <w:rsid w:val="001C64ED"/>
    <w:rsid w:val="001C6C4E"/>
    <w:rsid w:val="001C712E"/>
    <w:rsid w:val="001C7411"/>
    <w:rsid w:val="001C75C1"/>
    <w:rsid w:val="001C7958"/>
    <w:rsid w:val="001C79B7"/>
    <w:rsid w:val="001C7B36"/>
    <w:rsid w:val="001C7C1D"/>
    <w:rsid w:val="001D0102"/>
    <w:rsid w:val="001D0626"/>
    <w:rsid w:val="001D0FCD"/>
    <w:rsid w:val="001D10B6"/>
    <w:rsid w:val="001D183D"/>
    <w:rsid w:val="001D19C5"/>
    <w:rsid w:val="001D1B5E"/>
    <w:rsid w:val="001D21AE"/>
    <w:rsid w:val="001D23B2"/>
    <w:rsid w:val="001D2657"/>
    <w:rsid w:val="001D2BDA"/>
    <w:rsid w:val="001D3121"/>
    <w:rsid w:val="001D34BF"/>
    <w:rsid w:val="001D3617"/>
    <w:rsid w:val="001D3742"/>
    <w:rsid w:val="001D38A5"/>
    <w:rsid w:val="001D3921"/>
    <w:rsid w:val="001D3A9C"/>
    <w:rsid w:val="001D423D"/>
    <w:rsid w:val="001D478E"/>
    <w:rsid w:val="001D4AA2"/>
    <w:rsid w:val="001D4B3A"/>
    <w:rsid w:val="001D4DAD"/>
    <w:rsid w:val="001D4EEA"/>
    <w:rsid w:val="001D5030"/>
    <w:rsid w:val="001D5247"/>
    <w:rsid w:val="001D52F4"/>
    <w:rsid w:val="001D53C8"/>
    <w:rsid w:val="001D5BF5"/>
    <w:rsid w:val="001D5E5F"/>
    <w:rsid w:val="001D63EC"/>
    <w:rsid w:val="001D6B79"/>
    <w:rsid w:val="001D73D2"/>
    <w:rsid w:val="001D7497"/>
    <w:rsid w:val="001D7EAB"/>
    <w:rsid w:val="001E071E"/>
    <w:rsid w:val="001E08A7"/>
    <w:rsid w:val="001E0F2F"/>
    <w:rsid w:val="001E1012"/>
    <w:rsid w:val="001E10DD"/>
    <w:rsid w:val="001E111B"/>
    <w:rsid w:val="001E1161"/>
    <w:rsid w:val="001E12B5"/>
    <w:rsid w:val="001E13CC"/>
    <w:rsid w:val="001E150A"/>
    <w:rsid w:val="001E16D9"/>
    <w:rsid w:val="001E1BE8"/>
    <w:rsid w:val="001E1CF9"/>
    <w:rsid w:val="001E24B8"/>
    <w:rsid w:val="001E2698"/>
    <w:rsid w:val="001E2ED9"/>
    <w:rsid w:val="001E2F10"/>
    <w:rsid w:val="001E3767"/>
    <w:rsid w:val="001E39E4"/>
    <w:rsid w:val="001E3A0F"/>
    <w:rsid w:val="001E3C4C"/>
    <w:rsid w:val="001E3EE1"/>
    <w:rsid w:val="001E43FB"/>
    <w:rsid w:val="001E4871"/>
    <w:rsid w:val="001E55D4"/>
    <w:rsid w:val="001E5889"/>
    <w:rsid w:val="001E5AA5"/>
    <w:rsid w:val="001E6111"/>
    <w:rsid w:val="001E633C"/>
    <w:rsid w:val="001E65AA"/>
    <w:rsid w:val="001E6CEE"/>
    <w:rsid w:val="001E6CF5"/>
    <w:rsid w:val="001E786C"/>
    <w:rsid w:val="001E7EDB"/>
    <w:rsid w:val="001F0AD8"/>
    <w:rsid w:val="001F1420"/>
    <w:rsid w:val="001F1495"/>
    <w:rsid w:val="001F1892"/>
    <w:rsid w:val="001F1DC1"/>
    <w:rsid w:val="001F2341"/>
    <w:rsid w:val="001F2382"/>
    <w:rsid w:val="001F28DB"/>
    <w:rsid w:val="001F2ABF"/>
    <w:rsid w:val="001F2C24"/>
    <w:rsid w:val="001F2CAB"/>
    <w:rsid w:val="001F2DEF"/>
    <w:rsid w:val="001F2E3F"/>
    <w:rsid w:val="001F3330"/>
    <w:rsid w:val="001F340B"/>
    <w:rsid w:val="001F3541"/>
    <w:rsid w:val="001F385C"/>
    <w:rsid w:val="001F3A97"/>
    <w:rsid w:val="001F3C94"/>
    <w:rsid w:val="001F3E98"/>
    <w:rsid w:val="001F3FA2"/>
    <w:rsid w:val="001F3FC3"/>
    <w:rsid w:val="001F41D6"/>
    <w:rsid w:val="001F4BD9"/>
    <w:rsid w:val="001F530C"/>
    <w:rsid w:val="001F5535"/>
    <w:rsid w:val="001F55E0"/>
    <w:rsid w:val="001F6021"/>
    <w:rsid w:val="001F6352"/>
    <w:rsid w:val="001F63E0"/>
    <w:rsid w:val="001F649F"/>
    <w:rsid w:val="001F6532"/>
    <w:rsid w:val="001F66B8"/>
    <w:rsid w:val="001F733A"/>
    <w:rsid w:val="001F73C0"/>
    <w:rsid w:val="001F75F0"/>
    <w:rsid w:val="0020016F"/>
    <w:rsid w:val="00200266"/>
    <w:rsid w:val="00200280"/>
    <w:rsid w:val="00200311"/>
    <w:rsid w:val="002004C0"/>
    <w:rsid w:val="00200A3F"/>
    <w:rsid w:val="00200F27"/>
    <w:rsid w:val="00201100"/>
    <w:rsid w:val="002011B4"/>
    <w:rsid w:val="00201394"/>
    <w:rsid w:val="00201769"/>
    <w:rsid w:val="00201784"/>
    <w:rsid w:val="00201F5A"/>
    <w:rsid w:val="002021FE"/>
    <w:rsid w:val="002025C7"/>
    <w:rsid w:val="00202C7E"/>
    <w:rsid w:val="0020364E"/>
    <w:rsid w:val="002039C6"/>
    <w:rsid w:val="00203E81"/>
    <w:rsid w:val="002040FE"/>
    <w:rsid w:val="00204367"/>
    <w:rsid w:val="00204751"/>
    <w:rsid w:val="00204A98"/>
    <w:rsid w:val="0020508C"/>
    <w:rsid w:val="0020508F"/>
    <w:rsid w:val="002050CB"/>
    <w:rsid w:val="002051D9"/>
    <w:rsid w:val="0020634C"/>
    <w:rsid w:val="00206453"/>
    <w:rsid w:val="00206883"/>
    <w:rsid w:val="0020721C"/>
    <w:rsid w:val="002075E1"/>
    <w:rsid w:val="00210280"/>
    <w:rsid w:val="00210499"/>
    <w:rsid w:val="002104CB"/>
    <w:rsid w:val="00210AB3"/>
    <w:rsid w:val="00210B2E"/>
    <w:rsid w:val="00210F80"/>
    <w:rsid w:val="00211276"/>
    <w:rsid w:val="00211990"/>
    <w:rsid w:val="00211A56"/>
    <w:rsid w:val="00211AE7"/>
    <w:rsid w:val="00211CB4"/>
    <w:rsid w:val="00212120"/>
    <w:rsid w:val="00212143"/>
    <w:rsid w:val="002121E3"/>
    <w:rsid w:val="002124FD"/>
    <w:rsid w:val="00212745"/>
    <w:rsid w:val="00212781"/>
    <w:rsid w:val="00212858"/>
    <w:rsid w:val="00213153"/>
    <w:rsid w:val="00213195"/>
    <w:rsid w:val="002131D6"/>
    <w:rsid w:val="00213288"/>
    <w:rsid w:val="002137B7"/>
    <w:rsid w:val="00214063"/>
    <w:rsid w:val="0021415C"/>
    <w:rsid w:val="002149AA"/>
    <w:rsid w:val="00214EF0"/>
    <w:rsid w:val="00215273"/>
    <w:rsid w:val="002159AC"/>
    <w:rsid w:val="00215A72"/>
    <w:rsid w:val="00215A8D"/>
    <w:rsid w:val="00215F5F"/>
    <w:rsid w:val="00216D9B"/>
    <w:rsid w:val="00216F2B"/>
    <w:rsid w:val="00217331"/>
    <w:rsid w:val="00217F85"/>
    <w:rsid w:val="002201E8"/>
    <w:rsid w:val="002202C7"/>
    <w:rsid w:val="002202FF"/>
    <w:rsid w:val="002203D0"/>
    <w:rsid w:val="00220E7F"/>
    <w:rsid w:val="002217B8"/>
    <w:rsid w:val="002225CF"/>
    <w:rsid w:val="002226E4"/>
    <w:rsid w:val="00223157"/>
    <w:rsid w:val="002235D0"/>
    <w:rsid w:val="0022390F"/>
    <w:rsid w:val="00223B86"/>
    <w:rsid w:val="00223D05"/>
    <w:rsid w:val="00224365"/>
    <w:rsid w:val="00224488"/>
    <w:rsid w:val="002246CE"/>
    <w:rsid w:val="00225C10"/>
    <w:rsid w:val="00225CFB"/>
    <w:rsid w:val="00225DB4"/>
    <w:rsid w:val="002277F9"/>
    <w:rsid w:val="002300B2"/>
    <w:rsid w:val="00230194"/>
    <w:rsid w:val="00230704"/>
    <w:rsid w:val="00230BD3"/>
    <w:rsid w:val="00230F41"/>
    <w:rsid w:val="00231414"/>
    <w:rsid w:val="002316CC"/>
    <w:rsid w:val="0023173F"/>
    <w:rsid w:val="00231D38"/>
    <w:rsid w:val="00231E53"/>
    <w:rsid w:val="00231FA3"/>
    <w:rsid w:val="00232301"/>
    <w:rsid w:val="00232312"/>
    <w:rsid w:val="002329B0"/>
    <w:rsid w:val="00232AB0"/>
    <w:rsid w:val="00233B54"/>
    <w:rsid w:val="00233DED"/>
    <w:rsid w:val="00234541"/>
    <w:rsid w:val="00234CE9"/>
    <w:rsid w:val="0023569F"/>
    <w:rsid w:val="002357D1"/>
    <w:rsid w:val="00235C24"/>
    <w:rsid w:val="00235DE1"/>
    <w:rsid w:val="00236225"/>
    <w:rsid w:val="00236363"/>
    <w:rsid w:val="00236694"/>
    <w:rsid w:val="00236ADD"/>
    <w:rsid w:val="00237889"/>
    <w:rsid w:val="00237C24"/>
    <w:rsid w:val="00237EDC"/>
    <w:rsid w:val="00237F02"/>
    <w:rsid w:val="00240346"/>
    <w:rsid w:val="00240571"/>
    <w:rsid w:val="00240789"/>
    <w:rsid w:val="002407F9"/>
    <w:rsid w:val="00240C71"/>
    <w:rsid w:val="00240D8E"/>
    <w:rsid w:val="00240F25"/>
    <w:rsid w:val="002411EE"/>
    <w:rsid w:val="002412B6"/>
    <w:rsid w:val="00241521"/>
    <w:rsid w:val="00241798"/>
    <w:rsid w:val="00241DD2"/>
    <w:rsid w:val="0024217D"/>
    <w:rsid w:val="002423D4"/>
    <w:rsid w:val="00242BDD"/>
    <w:rsid w:val="00242D4A"/>
    <w:rsid w:val="00242F14"/>
    <w:rsid w:val="002430AD"/>
    <w:rsid w:val="002432D4"/>
    <w:rsid w:val="00243D45"/>
    <w:rsid w:val="0024438B"/>
    <w:rsid w:val="0024449F"/>
    <w:rsid w:val="002446A2"/>
    <w:rsid w:val="00244746"/>
    <w:rsid w:val="002449C7"/>
    <w:rsid w:val="002452A7"/>
    <w:rsid w:val="002452DA"/>
    <w:rsid w:val="00245B1B"/>
    <w:rsid w:val="00246085"/>
    <w:rsid w:val="002463ED"/>
    <w:rsid w:val="002464BC"/>
    <w:rsid w:val="002468E2"/>
    <w:rsid w:val="00246AD6"/>
    <w:rsid w:val="00246D3F"/>
    <w:rsid w:val="00246F74"/>
    <w:rsid w:val="00246FCB"/>
    <w:rsid w:val="002471D6"/>
    <w:rsid w:val="0024785E"/>
    <w:rsid w:val="00250658"/>
    <w:rsid w:val="0025089F"/>
    <w:rsid w:val="00250AE8"/>
    <w:rsid w:val="00250D65"/>
    <w:rsid w:val="00251118"/>
    <w:rsid w:val="00251406"/>
    <w:rsid w:val="00251B24"/>
    <w:rsid w:val="0025232D"/>
    <w:rsid w:val="00252B11"/>
    <w:rsid w:val="00252D6E"/>
    <w:rsid w:val="00253060"/>
    <w:rsid w:val="00253170"/>
    <w:rsid w:val="0025330C"/>
    <w:rsid w:val="00253492"/>
    <w:rsid w:val="0025357C"/>
    <w:rsid w:val="00253C89"/>
    <w:rsid w:val="00253ED5"/>
    <w:rsid w:val="0025402B"/>
    <w:rsid w:val="00254EF8"/>
    <w:rsid w:val="00255153"/>
    <w:rsid w:val="0025593E"/>
    <w:rsid w:val="002559C0"/>
    <w:rsid w:val="00255D0A"/>
    <w:rsid w:val="00256954"/>
    <w:rsid w:val="00256E21"/>
    <w:rsid w:val="00257328"/>
    <w:rsid w:val="00257D04"/>
    <w:rsid w:val="00260485"/>
    <w:rsid w:val="002604F9"/>
    <w:rsid w:val="00260D58"/>
    <w:rsid w:val="00260D5B"/>
    <w:rsid w:val="0026109E"/>
    <w:rsid w:val="00261519"/>
    <w:rsid w:val="0026159D"/>
    <w:rsid w:val="00261ABB"/>
    <w:rsid w:val="00261CAF"/>
    <w:rsid w:val="00261D2A"/>
    <w:rsid w:val="00262408"/>
    <w:rsid w:val="00262576"/>
    <w:rsid w:val="002625A1"/>
    <w:rsid w:val="002628AD"/>
    <w:rsid w:val="002629FC"/>
    <w:rsid w:val="00262C95"/>
    <w:rsid w:val="00262FC1"/>
    <w:rsid w:val="00263722"/>
    <w:rsid w:val="00263B57"/>
    <w:rsid w:val="002644B1"/>
    <w:rsid w:val="002649DB"/>
    <w:rsid w:val="00264B6C"/>
    <w:rsid w:val="00264BF1"/>
    <w:rsid w:val="00264EAC"/>
    <w:rsid w:val="002650DD"/>
    <w:rsid w:val="0026567D"/>
    <w:rsid w:val="0026608B"/>
    <w:rsid w:val="002661E7"/>
    <w:rsid w:val="00266770"/>
    <w:rsid w:val="00266A35"/>
    <w:rsid w:val="00266BA5"/>
    <w:rsid w:val="00266BE6"/>
    <w:rsid w:val="00266C8A"/>
    <w:rsid w:val="002672D2"/>
    <w:rsid w:val="00267343"/>
    <w:rsid w:val="00267D03"/>
    <w:rsid w:val="00267E27"/>
    <w:rsid w:val="00270227"/>
    <w:rsid w:val="002703B9"/>
    <w:rsid w:val="00270680"/>
    <w:rsid w:val="00270F3E"/>
    <w:rsid w:val="00271CAA"/>
    <w:rsid w:val="00271EF4"/>
    <w:rsid w:val="00271FCA"/>
    <w:rsid w:val="002720B7"/>
    <w:rsid w:val="00272329"/>
    <w:rsid w:val="0027284A"/>
    <w:rsid w:val="00272C67"/>
    <w:rsid w:val="00272EBD"/>
    <w:rsid w:val="00272FBF"/>
    <w:rsid w:val="002730A4"/>
    <w:rsid w:val="002733C1"/>
    <w:rsid w:val="002733EF"/>
    <w:rsid w:val="00273BBB"/>
    <w:rsid w:val="00274395"/>
    <w:rsid w:val="00274771"/>
    <w:rsid w:val="00274B26"/>
    <w:rsid w:val="00274C42"/>
    <w:rsid w:val="00274DF2"/>
    <w:rsid w:val="002752F3"/>
    <w:rsid w:val="0027562B"/>
    <w:rsid w:val="00275933"/>
    <w:rsid w:val="00275B0D"/>
    <w:rsid w:val="002762A5"/>
    <w:rsid w:val="00276535"/>
    <w:rsid w:val="00276926"/>
    <w:rsid w:val="0027719E"/>
    <w:rsid w:val="002777A2"/>
    <w:rsid w:val="00277974"/>
    <w:rsid w:val="00280924"/>
    <w:rsid w:val="00280D91"/>
    <w:rsid w:val="002810CB"/>
    <w:rsid w:val="00281973"/>
    <w:rsid w:val="002819E1"/>
    <w:rsid w:val="00281A06"/>
    <w:rsid w:val="00281F3A"/>
    <w:rsid w:val="00281FAD"/>
    <w:rsid w:val="002824DA"/>
    <w:rsid w:val="002827A1"/>
    <w:rsid w:val="0028298A"/>
    <w:rsid w:val="00283044"/>
    <w:rsid w:val="002831BD"/>
    <w:rsid w:val="0028431F"/>
    <w:rsid w:val="0028519B"/>
    <w:rsid w:val="002851B3"/>
    <w:rsid w:val="0028521B"/>
    <w:rsid w:val="002856F0"/>
    <w:rsid w:val="002857CB"/>
    <w:rsid w:val="00285BDB"/>
    <w:rsid w:val="002864FB"/>
    <w:rsid w:val="0028681B"/>
    <w:rsid w:val="00286D64"/>
    <w:rsid w:val="00286E25"/>
    <w:rsid w:val="00286ED9"/>
    <w:rsid w:val="002870DD"/>
    <w:rsid w:val="00287406"/>
    <w:rsid w:val="0028760E"/>
    <w:rsid w:val="002879D6"/>
    <w:rsid w:val="00287D18"/>
    <w:rsid w:val="002900C5"/>
    <w:rsid w:val="002904DB"/>
    <w:rsid w:val="00290889"/>
    <w:rsid w:val="00290ABA"/>
    <w:rsid w:val="002911D4"/>
    <w:rsid w:val="0029129F"/>
    <w:rsid w:val="00291B3C"/>
    <w:rsid w:val="00291D65"/>
    <w:rsid w:val="00292831"/>
    <w:rsid w:val="00292B0E"/>
    <w:rsid w:val="00292B2B"/>
    <w:rsid w:val="00292C72"/>
    <w:rsid w:val="00292F61"/>
    <w:rsid w:val="0029345F"/>
    <w:rsid w:val="00294187"/>
    <w:rsid w:val="00294923"/>
    <w:rsid w:val="00294A87"/>
    <w:rsid w:val="00294C0D"/>
    <w:rsid w:val="00295128"/>
    <w:rsid w:val="00295251"/>
    <w:rsid w:val="00296C90"/>
    <w:rsid w:val="00297162"/>
    <w:rsid w:val="002976A0"/>
    <w:rsid w:val="002A05F2"/>
    <w:rsid w:val="002A0648"/>
    <w:rsid w:val="002A0A7E"/>
    <w:rsid w:val="002A0C9D"/>
    <w:rsid w:val="002A0DEE"/>
    <w:rsid w:val="002A115D"/>
    <w:rsid w:val="002A15CD"/>
    <w:rsid w:val="002A1609"/>
    <w:rsid w:val="002A21FE"/>
    <w:rsid w:val="002A294D"/>
    <w:rsid w:val="002A2BB8"/>
    <w:rsid w:val="002A3452"/>
    <w:rsid w:val="002A35B7"/>
    <w:rsid w:val="002A3A4B"/>
    <w:rsid w:val="002A40FE"/>
    <w:rsid w:val="002A46A2"/>
    <w:rsid w:val="002A56AB"/>
    <w:rsid w:val="002A5C28"/>
    <w:rsid w:val="002A63C2"/>
    <w:rsid w:val="002A7746"/>
    <w:rsid w:val="002A77CD"/>
    <w:rsid w:val="002A77E3"/>
    <w:rsid w:val="002A7DD9"/>
    <w:rsid w:val="002B0280"/>
    <w:rsid w:val="002B0528"/>
    <w:rsid w:val="002B12F2"/>
    <w:rsid w:val="002B1352"/>
    <w:rsid w:val="002B1896"/>
    <w:rsid w:val="002B1C4A"/>
    <w:rsid w:val="002B30ED"/>
    <w:rsid w:val="002B32CF"/>
    <w:rsid w:val="002B37BB"/>
    <w:rsid w:val="002B3D79"/>
    <w:rsid w:val="002B438A"/>
    <w:rsid w:val="002B4A52"/>
    <w:rsid w:val="002B5361"/>
    <w:rsid w:val="002B5805"/>
    <w:rsid w:val="002B5B89"/>
    <w:rsid w:val="002B6327"/>
    <w:rsid w:val="002B6F11"/>
    <w:rsid w:val="002B7342"/>
    <w:rsid w:val="002B7772"/>
    <w:rsid w:val="002B77BC"/>
    <w:rsid w:val="002B7AB3"/>
    <w:rsid w:val="002C01BC"/>
    <w:rsid w:val="002C0829"/>
    <w:rsid w:val="002C0866"/>
    <w:rsid w:val="002C0A87"/>
    <w:rsid w:val="002C11EE"/>
    <w:rsid w:val="002C1529"/>
    <w:rsid w:val="002C18DF"/>
    <w:rsid w:val="002C1993"/>
    <w:rsid w:val="002C2AFE"/>
    <w:rsid w:val="002C32AD"/>
    <w:rsid w:val="002C372D"/>
    <w:rsid w:val="002C3B08"/>
    <w:rsid w:val="002C3BD7"/>
    <w:rsid w:val="002C3BF3"/>
    <w:rsid w:val="002C3CBB"/>
    <w:rsid w:val="002C4014"/>
    <w:rsid w:val="002C48A4"/>
    <w:rsid w:val="002C490D"/>
    <w:rsid w:val="002C4AF5"/>
    <w:rsid w:val="002C4C57"/>
    <w:rsid w:val="002C5AC3"/>
    <w:rsid w:val="002C6092"/>
    <w:rsid w:val="002C65A6"/>
    <w:rsid w:val="002C65D9"/>
    <w:rsid w:val="002C6AAB"/>
    <w:rsid w:val="002C6DBE"/>
    <w:rsid w:val="002C6DCA"/>
    <w:rsid w:val="002D0912"/>
    <w:rsid w:val="002D09DB"/>
    <w:rsid w:val="002D0A86"/>
    <w:rsid w:val="002D0CEB"/>
    <w:rsid w:val="002D0E45"/>
    <w:rsid w:val="002D1641"/>
    <w:rsid w:val="002D1AAD"/>
    <w:rsid w:val="002D1C81"/>
    <w:rsid w:val="002D25F1"/>
    <w:rsid w:val="002D2663"/>
    <w:rsid w:val="002D29F8"/>
    <w:rsid w:val="002D3597"/>
    <w:rsid w:val="002D35D1"/>
    <w:rsid w:val="002D38A0"/>
    <w:rsid w:val="002D516E"/>
    <w:rsid w:val="002D568B"/>
    <w:rsid w:val="002D5774"/>
    <w:rsid w:val="002D5DDB"/>
    <w:rsid w:val="002D60FA"/>
    <w:rsid w:val="002D6875"/>
    <w:rsid w:val="002D6C30"/>
    <w:rsid w:val="002D6D20"/>
    <w:rsid w:val="002D6EE7"/>
    <w:rsid w:val="002D70BD"/>
    <w:rsid w:val="002D7D9A"/>
    <w:rsid w:val="002E0189"/>
    <w:rsid w:val="002E01A7"/>
    <w:rsid w:val="002E01E9"/>
    <w:rsid w:val="002E042F"/>
    <w:rsid w:val="002E0A2A"/>
    <w:rsid w:val="002E0E94"/>
    <w:rsid w:val="002E0EDE"/>
    <w:rsid w:val="002E13D0"/>
    <w:rsid w:val="002E1AAA"/>
    <w:rsid w:val="002E1C20"/>
    <w:rsid w:val="002E24FE"/>
    <w:rsid w:val="002E2C9C"/>
    <w:rsid w:val="002E2E2C"/>
    <w:rsid w:val="002E2EA2"/>
    <w:rsid w:val="002E30DD"/>
    <w:rsid w:val="002E383D"/>
    <w:rsid w:val="002E39C0"/>
    <w:rsid w:val="002E3B59"/>
    <w:rsid w:val="002E430A"/>
    <w:rsid w:val="002E4929"/>
    <w:rsid w:val="002E4BEC"/>
    <w:rsid w:val="002E4C8A"/>
    <w:rsid w:val="002E52C7"/>
    <w:rsid w:val="002E53E8"/>
    <w:rsid w:val="002E5455"/>
    <w:rsid w:val="002E548D"/>
    <w:rsid w:val="002E5914"/>
    <w:rsid w:val="002E5A3D"/>
    <w:rsid w:val="002E5E66"/>
    <w:rsid w:val="002E62DB"/>
    <w:rsid w:val="002E64EE"/>
    <w:rsid w:val="002E66E9"/>
    <w:rsid w:val="002E66FC"/>
    <w:rsid w:val="002E723E"/>
    <w:rsid w:val="002E744B"/>
    <w:rsid w:val="002E7750"/>
    <w:rsid w:val="002E785D"/>
    <w:rsid w:val="002E7A91"/>
    <w:rsid w:val="002E7CEB"/>
    <w:rsid w:val="002F047D"/>
    <w:rsid w:val="002F0557"/>
    <w:rsid w:val="002F05C4"/>
    <w:rsid w:val="002F075A"/>
    <w:rsid w:val="002F0E1F"/>
    <w:rsid w:val="002F1568"/>
    <w:rsid w:val="002F160A"/>
    <w:rsid w:val="002F1780"/>
    <w:rsid w:val="002F1D75"/>
    <w:rsid w:val="002F25D1"/>
    <w:rsid w:val="002F2886"/>
    <w:rsid w:val="002F2DAC"/>
    <w:rsid w:val="002F2E04"/>
    <w:rsid w:val="002F2FFC"/>
    <w:rsid w:val="002F38AC"/>
    <w:rsid w:val="002F396E"/>
    <w:rsid w:val="002F3A7E"/>
    <w:rsid w:val="002F3BC4"/>
    <w:rsid w:val="002F3FAB"/>
    <w:rsid w:val="002F41CF"/>
    <w:rsid w:val="002F42AF"/>
    <w:rsid w:val="002F4308"/>
    <w:rsid w:val="002F439A"/>
    <w:rsid w:val="002F4E11"/>
    <w:rsid w:val="002F4ECE"/>
    <w:rsid w:val="002F52B6"/>
    <w:rsid w:val="002F53D1"/>
    <w:rsid w:val="002F5773"/>
    <w:rsid w:val="002F5BC7"/>
    <w:rsid w:val="002F6109"/>
    <w:rsid w:val="002F63E0"/>
    <w:rsid w:val="002F6A3D"/>
    <w:rsid w:val="002F6EF0"/>
    <w:rsid w:val="002F7DFE"/>
    <w:rsid w:val="002F7EA2"/>
    <w:rsid w:val="00300089"/>
    <w:rsid w:val="00300262"/>
    <w:rsid w:val="00300E1A"/>
    <w:rsid w:val="00301326"/>
    <w:rsid w:val="00301A5A"/>
    <w:rsid w:val="00302045"/>
    <w:rsid w:val="00302511"/>
    <w:rsid w:val="00302519"/>
    <w:rsid w:val="003028D2"/>
    <w:rsid w:val="00303133"/>
    <w:rsid w:val="003034BB"/>
    <w:rsid w:val="003041FB"/>
    <w:rsid w:val="0030489F"/>
    <w:rsid w:val="00304F6D"/>
    <w:rsid w:val="00305011"/>
    <w:rsid w:val="0030502B"/>
    <w:rsid w:val="00305057"/>
    <w:rsid w:val="0030531C"/>
    <w:rsid w:val="00305852"/>
    <w:rsid w:val="0030599E"/>
    <w:rsid w:val="00305A47"/>
    <w:rsid w:val="00305BCC"/>
    <w:rsid w:val="00305D21"/>
    <w:rsid w:val="00305E07"/>
    <w:rsid w:val="0030680B"/>
    <w:rsid w:val="00306C95"/>
    <w:rsid w:val="003071A7"/>
    <w:rsid w:val="00307658"/>
    <w:rsid w:val="0030774C"/>
    <w:rsid w:val="00307E44"/>
    <w:rsid w:val="003104F8"/>
    <w:rsid w:val="0031097B"/>
    <w:rsid w:val="00310F47"/>
    <w:rsid w:val="003111FF"/>
    <w:rsid w:val="003115C2"/>
    <w:rsid w:val="00311EE7"/>
    <w:rsid w:val="00311FAA"/>
    <w:rsid w:val="00312BD0"/>
    <w:rsid w:val="00312D58"/>
    <w:rsid w:val="00313099"/>
    <w:rsid w:val="00313A61"/>
    <w:rsid w:val="00313AFD"/>
    <w:rsid w:val="00313CE2"/>
    <w:rsid w:val="003147F8"/>
    <w:rsid w:val="00314A15"/>
    <w:rsid w:val="00314A5D"/>
    <w:rsid w:val="003152B7"/>
    <w:rsid w:val="003159E2"/>
    <w:rsid w:val="003162E9"/>
    <w:rsid w:val="0031655C"/>
    <w:rsid w:val="00316799"/>
    <w:rsid w:val="003168A5"/>
    <w:rsid w:val="0031695E"/>
    <w:rsid w:val="00316BB3"/>
    <w:rsid w:val="00316EEB"/>
    <w:rsid w:val="00317382"/>
    <w:rsid w:val="00317780"/>
    <w:rsid w:val="0031799A"/>
    <w:rsid w:val="00317B87"/>
    <w:rsid w:val="00317E1A"/>
    <w:rsid w:val="00317F40"/>
    <w:rsid w:val="0032004B"/>
    <w:rsid w:val="00320081"/>
    <w:rsid w:val="0032024C"/>
    <w:rsid w:val="003217CE"/>
    <w:rsid w:val="00321C7E"/>
    <w:rsid w:val="00321FA9"/>
    <w:rsid w:val="00322775"/>
    <w:rsid w:val="00322D9D"/>
    <w:rsid w:val="003233F1"/>
    <w:rsid w:val="003236FF"/>
    <w:rsid w:val="003237EC"/>
    <w:rsid w:val="00323B34"/>
    <w:rsid w:val="00323C7B"/>
    <w:rsid w:val="00323EC4"/>
    <w:rsid w:val="00324319"/>
    <w:rsid w:val="00324A52"/>
    <w:rsid w:val="00324A8F"/>
    <w:rsid w:val="00324C9B"/>
    <w:rsid w:val="00325288"/>
    <w:rsid w:val="00325390"/>
    <w:rsid w:val="003253DF"/>
    <w:rsid w:val="00325965"/>
    <w:rsid w:val="003266E7"/>
    <w:rsid w:val="00326A94"/>
    <w:rsid w:val="00326C29"/>
    <w:rsid w:val="00330656"/>
    <w:rsid w:val="00330668"/>
    <w:rsid w:val="003310B8"/>
    <w:rsid w:val="0033184C"/>
    <w:rsid w:val="00331887"/>
    <w:rsid w:val="003319BC"/>
    <w:rsid w:val="00331CCE"/>
    <w:rsid w:val="00331DFC"/>
    <w:rsid w:val="00332595"/>
    <w:rsid w:val="00332966"/>
    <w:rsid w:val="0033343D"/>
    <w:rsid w:val="00333727"/>
    <w:rsid w:val="00333D92"/>
    <w:rsid w:val="00333FAD"/>
    <w:rsid w:val="00334698"/>
    <w:rsid w:val="00334B56"/>
    <w:rsid w:val="0033579D"/>
    <w:rsid w:val="00336256"/>
    <w:rsid w:val="00336384"/>
    <w:rsid w:val="003365F3"/>
    <w:rsid w:val="00336835"/>
    <w:rsid w:val="00336C52"/>
    <w:rsid w:val="00336DD4"/>
    <w:rsid w:val="0033726B"/>
    <w:rsid w:val="00337807"/>
    <w:rsid w:val="00337D94"/>
    <w:rsid w:val="0034030C"/>
    <w:rsid w:val="003403D6"/>
    <w:rsid w:val="00340A6D"/>
    <w:rsid w:val="003414DF"/>
    <w:rsid w:val="0034153E"/>
    <w:rsid w:val="00341724"/>
    <w:rsid w:val="00341909"/>
    <w:rsid w:val="00341C97"/>
    <w:rsid w:val="0034204A"/>
    <w:rsid w:val="00342317"/>
    <w:rsid w:val="00342439"/>
    <w:rsid w:val="00342E25"/>
    <w:rsid w:val="003438B3"/>
    <w:rsid w:val="00344122"/>
    <w:rsid w:val="003443A1"/>
    <w:rsid w:val="00344844"/>
    <w:rsid w:val="003448D9"/>
    <w:rsid w:val="00344974"/>
    <w:rsid w:val="00345277"/>
    <w:rsid w:val="00345B00"/>
    <w:rsid w:val="00345BE7"/>
    <w:rsid w:val="003460AA"/>
    <w:rsid w:val="00346450"/>
    <w:rsid w:val="00346667"/>
    <w:rsid w:val="003466F4"/>
    <w:rsid w:val="0034692D"/>
    <w:rsid w:val="00346E02"/>
    <w:rsid w:val="003471DF"/>
    <w:rsid w:val="00347886"/>
    <w:rsid w:val="00347E75"/>
    <w:rsid w:val="003500F5"/>
    <w:rsid w:val="003509C7"/>
    <w:rsid w:val="00351379"/>
    <w:rsid w:val="0035169A"/>
    <w:rsid w:val="003518A8"/>
    <w:rsid w:val="00351D32"/>
    <w:rsid w:val="00352992"/>
    <w:rsid w:val="00352D4C"/>
    <w:rsid w:val="003530CE"/>
    <w:rsid w:val="00353307"/>
    <w:rsid w:val="00353524"/>
    <w:rsid w:val="00353A87"/>
    <w:rsid w:val="00354652"/>
    <w:rsid w:val="00354F04"/>
    <w:rsid w:val="00354F06"/>
    <w:rsid w:val="003553B1"/>
    <w:rsid w:val="00355513"/>
    <w:rsid w:val="003556B4"/>
    <w:rsid w:val="00355AEE"/>
    <w:rsid w:val="00355C41"/>
    <w:rsid w:val="00355DEA"/>
    <w:rsid w:val="00356498"/>
    <w:rsid w:val="003568BC"/>
    <w:rsid w:val="00356F5D"/>
    <w:rsid w:val="00356F8A"/>
    <w:rsid w:val="00356FA9"/>
    <w:rsid w:val="00357522"/>
    <w:rsid w:val="00360042"/>
    <w:rsid w:val="00360896"/>
    <w:rsid w:val="003609EA"/>
    <w:rsid w:val="003613CD"/>
    <w:rsid w:val="00361B05"/>
    <w:rsid w:val="00362202"/>
    <w:rsid w:val="003627DF"/>
    <w:rsid w:val="00362D2F"/>
    <w:rsid w:val="00362F55"/>
    <w:rsid w:val="00363135"/>
    <w:rsid w:val="003635DF"/>
    <w:rsid w:val="00363646"/>
    <w:rsid w:val="00364022"/>
    <w:rsid w:val="0036446C"/>
    <w:rsid w:val="00364705"/>
    <w:rsid w:val="00365410"/>
    <w:rsid w:val="00366962"/>
    <w:rsid w:val="00366B7F"/>
    <w:rsid w:val="00367AD1"/>
    <w:rsid w:val="00367F15"/>
    <w:rsid w:val="003703B7"/>
    <w:rsid w:val="0037057A"/>
    <w:rsid w:val="0037060A"/>
    <w:rsid w:val="003709BB"/>
    <w:rsid w:val="00370B87"/>
    <w:rsid w:val="00371257"/>
    <w:rsid w:val="0037167E"/>
    <w:rsid w:val="00371E36"/>
    <w:rsid w:val="0037256C"/>
    <w:rsid w:val="00372EC2"/>
    <w:rsid w:val="0037331E"/>
    <w:rsid w:val="003736EE"/>
    <w:rsid w:val="003739DE"/>
    <w:rsid w:val="00373A9C"/>
    <w:rsid w:val="00373D2B"/>
    <w:rsid w:val="003742D3"/>
    <w:rsid w:val="003745EC"/>
    <w:rsid w:val="00374B11"/>
    <w:rsid w:val="00374C7F"/>
    <w:rsid w:val="003751DF"/>
    <w:rsid w:val="00375D3B"/>
    <w:rsid w:val="00376222"/>
    <w:rsid w:val="003762AE"/>
    <w:rsid w:val="00376A45"/>
    <w:rsid w:val="00376E53"/>
    <w:rsid w:val="00377122"/>
    <w:rsid w:val="0037719A"/>
    <w:rsid w:val="003774BE"/>
    <w:rsid w:val="00380B71"/>
    <w:rsid w:val="00380B81"/>
    <w:rsid w:val="00380DC1"/>
    <w:rsid w:val="00380DEA"/>
    <w:rsid w:val="003811C8"/>
    <w:rsid w:val="00381410"/>
    <w:rsid w:val="00381B1C"/>
    <w:rsid w:val="00382004"/>
    <w:rsid w:val="00382630"/>
    <w:rsid w:val="00382D00"/>
    <w:rsid w:val="003832C2"/>
    <w:rsid w:val="00383EA4"/>
    <w:rsid w:val="0038429F"/>
    <w:rsid w:val="0038455A"/>
    <w:rsid w:val="00384986"/>
    <w:rsid w:val="003858EB"/>
    <w:rsid w:val="00385B87"/>
    <w:rsid w:val="0038676D"/>
    <w:rsid w:val="00386819"/>
    <w:rsid w:val="00386D3E"/>
    <w:rsid w:val="00386EB0"/>
    <w:rsid w:val="003872C6"/>
    <w:rsid w:val="003874C1"/>
    <w:rsid w:val="003917EF"/>
    <w:rsid w:val="003919A8"/>
    <w:rsid w:val="00391ACB"/>
    <w:rsid w:val="00392207"/>
    <w:rsid w:val="003923DA"/>
    <w:rsid w:val="00392574"/>
    <w:rsid w:val="0039279B"/>
    <w:rsid w:val="003929EA"/>
    <w:rsid w:val="003932BC"/>
    <w:rsid w:val="0039337B"/>
    <w:rsid w:val="00393817"/>
    <w:rsid w:val="003938E9"/>
    <w:rsid w:val="00394316"/>
    <w:rsid w:val="003946AA"/>
    <w:rsid w:val="003947FD"/>
    <w:rsid w:val="00394967"/>
    <w:rsid w:val="00394A62"/>
    <w:rsid w:val="00394BDF"/>
    <w:rsid w:val="00394DD1"/>
    <w:rsid w:val="00394EE8"/>
    <w:rsid w:val="00394F35"/>
    <w:rsid w:val="00395683"/>
    <w:rsid w:val="003957F9"/>
    <w:rsid w:val="00395C8C"/>
    <w:rsid w:val="00395E1B"/>
    <w:rsid w:val="00395E96"/>
    <w:rsid w:val="00396794"/>
    <w:rsid w:val="003970CD"/>
    <w:rsid w:val="0039758A"/>
    <w:rsid w:val="003977F9"/>
    <w:rsid w:val="00397BA9"/>
    <w:rsid w:val="003A0089"/>
    <w:rsid w:val="003A0423"/>
    <w:rsid w:val="003A0B43"/>
    <w:rsid w:val="003A0D54"/>
    <w:rsid w:val="003A0ED0"/>
    <w:rsid w:val="003A0F89"/>
    <w:rsid w:val="003A12BC"/>
    <w:rsid w:val="003A1351"/>
    <w:rsid w:val="003A262C"/>
    <w:rsid w:val="003A32FA"/>
    <w:rsid w:val="003A3447"/>
    <w:rsid w:val="003A3729"/>
    <w:rsid w:val="003A39DD"/>
    <w:rsid w:val="003A4176"/>
    <w:rsid w:val="003A4182"/>
    <w:rsid w:val="003A4781"/>
    <w:rsid w:val="003A5318"/>
    <w:rsid w:val="003A56FF"/>
    <w:rsid w:val="003A579C"/>
    <w:rsid w:val="003A57F9"/>
    <w:rsid w:val="003A5CB1"/>
    <w:rsid w:val="003A5DDF"/>
    <w:rsid w:val="003A65BC"/>
    <w:rsid w:val="003A664C"/>
    <w:rsid w:val="003A68B9"/>
    <w:rsid w:val="003A6B3E"/>
    <w:rsid w:val="003A6B99"/>
    <w:rsid w:val="003A6E37"/>
    <w:rsid w:val="003A716D"/>
    <w:rsid w:val="003A71F4"/>
    <w:rsid w:val="003A7318"/>
    <w:rsid w:val="003B0623"/>
    <w:rsid w:val="003B069F"/>
    <w:rsid w:val="003B083C"/>
    <w:rsid w:val="003B0A2F"/>
    <w:rsid w:val="003B0C71"/>
    <w:rsid w:val="003B0D55"/>
    <w:rsid w:val="003B10C5"/>
    <w:rsid w:val="003B19B6"/>
    <w:rsid w:val="003B1D02"/>
    <w:rsid w:val="003B244C"/>
    <w:rsid w:val="003B325D"/>
    <w:rsid w:val="003B338E"/>
    <w:rsid w:val="003B3D8B"/>
    <w:rsid w:val="003B3E43"/>
    <w:rsid w:val="003B3F72"/>
    <w:rsid w:val="003B4322"/>
    <w:rsid w:val="003B43BE"/>
    <w:rsid w:val="003B46F8"/>
    <w:rsid w:val="003B59B9"/>
    <w:rsid w:val="003B5A10"/>
    <w:rsid w:val="003B5CFB"/>
    <w:rsid w:val="003B5F3E"/>
    <w:rsid w:val="003B6183"/>
    <w:rsid w:val="003B684E"/>
    <w:rsid w:val="003B69A3"/>
    <w:rsid w:val="003B6CE6"/>
    <w:rsid w:val="003B7227"/>
    <w:rsid w:val="003B7490"/>
    <w:rsid w:val="003B7703"/>
    <w:rsid w:val="003B77EA"/>
    <w:rsid w:val="003B7EF1"/>
    <w:rsid w:val="003B7F2B"/>
    <w:rsid w:val="003C012A"/>
    <w:rsid w:val="003C016B"/>
    <w:rsid w:val="003C0198"/>
    <w:rsid w:val="003C021D"/>
    <w:rsid w:val="003C049C"/>
    <w:rsid w:val="003C04C1"/>
    <w:rsid w:val="003C04E2"/>
    <w:rsid w:val="003C08A1"/>
    <w:rsid w:val="003C0D37"/>
    <w:rsid w:val="003C1151"/>
    <w:rsid w:val="003C11B5"/>
    <w:rsid w:val="003C1C7E"/>
    <w:rsid w:val="003C2094"/>
    <w:rsid w:val="003C2614"/>
    <w:rsid w:val="003C275C"/>
    <w:rsid w:val="003C2989"/>
    <w:rsid w:val="003C2CAC"/>
    <w:rsid w:val="003C2F01"/>
    <w:rsid w:val="003C32A9"/>
    <w:rsid w:val="003C32CD"/>
    <w:rsid w:val="003C353D"/>
    <w:rsid w:val="003C3F06"/>
    <w:rsid w:val="003C4091"/>
    <w:rsid w:val="003C415D"/>
    <w:rsid w:val="003C4D50"/>
    <w:rsid w:val="003C53A5"/>
    <w:rsid w:val="003C5449"/>
    <w:rsid w:val="003C5907"/>
    <w:rsid w:val="003C6053"/>
    <w:rsid w:val="003C6099"/>
    <w:rsid w:val="003C6692"/>
    <w:rsid w:val="003C6A05"/>
    <w:rsid w:val="003C6C26"/>
    <w:rsid w:val="003C7A0C"/>
    <w:rsid w:val="003C7B78"/>
    <w:rsid w:val="003D0381"/>
    <w:rsid w:val="003D08A1"/>
    <w:rsid w:val="003D0B44"/>
    <w:rsid w:val="003D0E36"/>
    <w:rsid w:val="003D1DE8"/>
    <w:rsid w:val="003D1FAE"/>
    <w:rsid w:val="003D2046"/>
    <w:rsid w:val="003D20BC"/>
    <w:rsid w:val="003D24C7"/>
    <w:rsid w:val="003D2782"/>
    <w:rsid w:val="003D33C1"/>
    <w:rsid w:val="003D39D7"/>
    <w:rsid w:val="003D3B14"/>
    <w:rsid w:val="003D3E00"/>
    <w:rsid w:val="003D3F56"/>
    <w:rsid w:val="003D4218"/>
    <w:rsid w:val="003D444E"/>
    <w:rsid w:val="003D48CC"/>
    <w:rsid w:val="003D5326"/>
    <w:rsid w:val="003D62F2"/>
    <w:rsid w:val="003D66FA"/>
    <w:rsid w:val="003D6859"/>
    <w:rsid w:val="003D7052"/>
    <w:rsid w:val="003D767D"/>
    <w:rsid w:val="003D79F9"/>
    <w:rsid w:val="003D7CE2"/>
    <w:rsid w:val="003E0040"/>
    <w:rsid w:val="003E0041"/>
    <w:rsid w:val="003E01D8"/>
    <w:rsid w:val="003E0590"/>
    <w:rsid w:val="003E113D"/>
    <w:rsid w:val="003E1332"/>
    <w:rsid w:val="003E1364"/>
    <w:rsid w:val="003E1990"/>
    <w:rsid w:val="003E1C39"/>
    <w:rsid w:val="003E2255"/>
    <w:rsid w:val="003E24DC"/>
    <w:rsid w:val="003E2E61"/>
    <w:rsid w:val="003E2F73"/>
    <w:rsid w:val="003E2FEA"/>
    <w:rsid w:val="003E33C3"/>
    <w:rsid w:val="003E34AD"/>
    <w:rsid w:val="003E3844"/>
    <w:rsid w:val="003E3D22"/>
    <w:rsid w:val="003E3DA0"/>
    <w:rsid w:val="003E40F1"/>
    <w:rsid w:val="003E42B4"/>
    <w:rsid w:val="003E42ED"/>
    <w:rsid w:val="003E4401"/>
    <w:rsid w:val="003E45F5"/>
    <w:rsid w:val="003E46E9"/>
    <w:rsid w:val="003E49E3"/>
    <w:rsid w:val="003E5A16"/>
    <w:rsid w:val="003E5DD5"/>
    <w:rsid w:val="003E657D"/>
    <w:rsid w:val="003E6602"/>
    <w:rsid w:val="003E6EF7"/>
    <w:rsid w:val="003E71AD"/>
    <w:rsid w:val="003E7371"/>
    <w:rsid w:val="003E77B8"/>
    <w:rsid w:val="003E7A88"/>
    <w:rsid w:val="003E7E5A"/>
    <w:rsid w:val="003F0267"/>
    <w:rsid w:val="003F0AD6"/>
    <w:rsid w:val="003F0B00"/>
    <w:rsid w:val="003F0E55"/>
    <w:rsid w:val="003F0FF9"/>
    <w:rsid w:val="003F16AE"/>
    <w:rsid w:val="003F1BB1"/>
    <w:rsid w:val="003F1C86"/>
    <w:rsid w:val="003F28D9"/>
    <w:rsid w:val="003F3863"/>
    <w:rsid w:val="003F398A"/>
    <w:rsid w:val="003F4078"/>
    <w:rsid w:val="003F4438"/>
    <w:rsid w:val="003F4969"/>
    <w:rsid w:val="003F49B2"/>
    <w:rsid w:val="003F4B62"/>
    <w:rsid w:val="003F52A5"/>
    <w:rsid w:val="003F581D"/>
    <w:rsid w:val="003F585F"/>
    <w:rsid w:val="003F5AF4"/>
    <w:rsid w:val="003F5D1E"/>
    <w:rsid w:val="003F5E92"/>
    <w:rsid w:val="003F5ECB"/>
    <w:rsid w:val="003F632D"/>
    <w:rsid w:val="003F6472"/>
    <w:rsid w:val="003F6882"/>
    <w:rsid w:val="003F7257"/>
    <w:rsid w:val="003F7266"/>
    <w:rsid w:val="003F75BB"/>
    <w:rsid w:val="003F7682"/>
    <w:rsid w:val="003F7CF1"/>
    <w:rsid w:val="003F7E7A"/>
    <w:rsid w:val="0040017F"/>
    <w:rsid w:val="0040088C"/>
    <w:rsid w:val="00401132"/>
    <w:rsid w:val="00401AA9"/>
    <w:rsid w:val="00401BAE"/>
    <w:rsid w:val="00401DF6"/>
    <w:rsid w:val="00401E3C"/>
    <w:rsid w:val="00402258"/>
    <w:rsid w:val="004022F2"/>
    <w:rsid w:val="00402446"/>
    <w:rsid w:val="00402E28"/>
    <w:rsid w:val="00403004"/>
    <w:rsid w:val="00403A74"/>
    <w:rsid w:val="00403C59"/>
    <w:rsid w:val="00404598"/>
    <w:rsid w:val="00404895"/>
    <w:rsid w:val="00404912"/>
    <w:rsid w:val="00405B9A"/>
    <w:rsid w:val="004064F4"/>
    <w:rsid w:val="00406CEC"/>
    <w:rsid w:val="00406E78"/>
    <w:rsid w:val="00406F6D"/>
    <w:rsid w:val="004073DA"/>
    <w:rsid w:val="0040761E"/>
    <w:rsid w:val="00407768"/>
    <w:rsid w:val="00410426"/>
    <w:rsid w:val="00410824"/>
    <w:rsid w:val="00410897"/>
    <w:rsid w:val="00411257"/>
    <w:rsid w:val="00411F42"/>
    <w:rsid w:val="0041215B"/>
    <w:rsid w:val="00412230"/>
    <w:rsid w:val="00412236"/>
    <w:rsid w:val="0041231C"/>
    <w:rsid w:val="00412DCC"/>
    <w:rsid w:val="00413341"/>
    <w:rsid w:val="0041364D"/>
    <w:rsid w:val="00413918"/>
    <w:rsid w:val="00413DC1"/>
    <w:rsid w:val="00413E94"/>
    <w:rsid w:val="004142CB"/>
    <w:rsid w:val="004147AC"/>
    <w:rsid w:val="00414819"/>
    <w:rsid w:val="00414C63"/>
    <w:rsid w:val="00414CAA"/>
    <w:rsid w:val="0041516D"/>
    <w:rsid w:val="0041563A"/>
    <w:rsid w:val="004156DB"/>
    <w:rsid w:val="00415C92"/>
    <w:rsid w:val="00416084"/>
    <w:rsid w:val="0041627B"/>
    <w:rsid w:val="004162B1"/>
    <w:rsid w:val="0041643B"/>
    <w:rsid w:val="004164D1"/>
    <w:rsid w:val="004165B5"/>
    <w:rsid w:val="0041753F"/>
    <w:rsid w:val="004176B0"/>
    <w:rsid w:val="00417D86"/>
    <w:rsid w:val="00417F05"/>
    <w:rsid w:val="00420129"/>
    <w:rsid w:val="00420733"/>
    <w:rsid w:val="00420A50"/>
    <w:rsid w:val="00420DAB"/>
    <w:rsid w:val="00421C3D"/>
    <w:rsid w:val="00421CDC"/>
    <w:rsid w:val="00421D60"/>
    <w:rsid w:val="004221D0"/>
    <w:rsid w:val="0042232F"/>
    <w:rsid w:val="004234E8"/>
    <w:rsid w:val="004235DE"/>
    <w:rsid w:val="00423F8D"/>
    <w:rsid w:val="00424014"/>
    <w:rsid w:val="00424F8C"/>
    <w:rsid w:val="004252AD"/>
    <w:rsid w:val="004253E2"/>
    <w:rsid w:val="004254AE"/>
    <w:rsid w:val="00425752"/>
    <w:rsid w:val="00425A03"/>
    <w:rsid w:val="00425BCB"/>
    <w:rsid w:val="00425D15"/>
    <w:rsid w:val="00426683"/>
    <w:rsid w:val="00426B03"/>
    <w:rsid w:val="00426D16"/>
    <w:rsid w:val="00426FAF"/>
    <w:rsid w:val="00427C7C"/>
    <w:rsid w:val="00427E2D"/>
    <w:rsid w:val="00427F9E"/>
    <w:rsid w:val="004302D9"/>
    <w:rsid w:val="00430507"/>
    <w:rsid w:val="004310C8"/>
    <w:rsid w:val="00431C9D"/>
    <w:rsid w:val="00431EAF"/>
    <w:rsid w:val="00432C97"/>
    <w:rsid w:val="00432DF2"/>
    <w:rsid w:val="004333A9"/>
    <w:rsid w:val="00433A2A"/>
    <w:rsid w:val="00433AC8"/>
    <w:rsid w:val="00434AA9"/>
    <w:rsid w:val="00435772"/>
    <w:rsid w:val="00435CC4"/>
    <w:rsid w:val="0043601A"/>
    <w:rsid w:val="0043640F"/>
    <w:rsid w:val="004368E2"/>
    <w:rsid w:val="004377FE"/>
    <w:rsid w:val="004378B4"/>
    <w:rsid w:val="00437DD6"/>
    <w:rsid w:val="00437ED7"/>
    <w:rsid w:val="00440179"/>
    <w:rsid w:val="00440436"/>
    <w:rsid w:val="00440F73"/>
    <w:rsid w:val="00441F86"/>
    <w:rsid w:val="004426F1"/>
    <w:rsid w:val="0044275D"/>
    <w:rsid w:val="0044352F"/>
    <w:rsid w:val="004436FA"/>
    <w:rsid w:val="00444659"/>
    <w:rsid w:val="00444A12"/>
    <w:rsid w:val="00444DA9"/>
    <w:rsid w:val="00445034"/>
    <w:rsid w:val="0044537E"/>
    <w:rsid w:val="00445D64"/>
    <w:rsid w:val="004462E0"/>
    <w:rsid w:val="0044644C"/>
    <w:rsid w:val="0044648E"/>
    <w:rsid w:val="00446B08"/>
    <w:rsid w:val="00446B4E"/>
    <w:rsid w:val="0044790D"/>
    <w:rsid w:val="00447C1C"/>
    <w:rsid w:val="00450B93"/>
    <w:rsid w:val="00450D6E"/>
    <w:rsid w:val="00450E94"/>
    <w:rsid w:val="00450EE8"/>
    <w:rsid w:val="0045155F"/>
    <w:rsid w:val="00451B73"/>
    <w:rsid w:val="00452090"/>
    <w:rsid w:val="004534B8"/>
    <w:rsid w:val="004535A3"/>
    <w:rsid w:val="004542D5"/>
    <w:rsid w:val="004544D3"/>
    <w:rsid w:val="00454755"/>
    <w:rsid w:val="00454B57"/>
    <w:rsid w:val="0045526B"/>
    <w:rsid w:val="00455819"/>
    <w:rsid w:val="00456122"/>
    <w:rsid w:val="004563D9"/>
    <w:rsid w:val="004569C8"/>
    <w:rsid w:val="00456E41"/>
    <w:rsid w:val="00456F78"/>
    <w:rsid w:val="0045758C"/>
    <w:rsid w:val="00457607"/>
    <w:rsid w:val="00457832"/>
    <w:rsid w:val="004579D8"/>
    <w:rsid w:val="00457E87"/>
    <w:rsid w:val="004600B3"/>
    <w:rsid w:val="00460483"/>
    <w:rsid w:val="00460573"/>
    <w:rsid w:val="00460DBF"/>
    <w:rsid w:val="004614EE"/>
    <w:rsid w:val="00461788"/>
    <w:rsid w:val="004618F3"/>
    <w:rsid w:val="00461B10"/>
    <w:rsid w:val="00461FC6"/>
    <w:rsid w:val="0046232A"/>
    <w:rsid w:val="00462744"/>
    <w:rsid w:val="00462AAB"/>
    <w:rsid w:val="00463351"/>
    <w:rsid w:val="00463EC5"/>
    <w:rsid w:val="00464099"/>
    <w:rsid w:val="0046411A"/>
    <w:rsid w:val="00464884"/>
    <w:rsid w:val="004648F7"/>
    <w:rsid w:val="00464A5C"/>
    <w:rsid w:val="0046547B"/>
    <w:rsid w:val="00465771"/>
    <w:rsid w:val="004657D2"/>
    <w:rsid w:val="004657F8"/>
    <w:rsid w:val="00466313"/>
    <w:rsid w:val="0046655E"/>
    <w:rsid w:val="00466574"/>
    <w:rsid w:val="00466A7E"/>
    <w:rsid w:val="00466E1B"/>
    <w:rsid w:val="00467995"/>
    <w:rsid w:val="00467B64"/>
    <w:rsid w:val="00467BC9"/>
    <w:rsid w:val="00467E86"/>
    <w:rsid w:val="00467FCF"/>
    <w:rsid w:val="00470604"/>
    <w:rsid w:val="00470C20"/>
    <w:rsid w:val="00470DA8"/>
    <w:rsid w:val="00471B7E"/>
    <w:rsid w:val="00471FEB"/>
    <w:rsid w:val="00473072"/>
    <w:rsid w:val="004733A1"/>
    <w:rsid w:val="004736D1"/>
    <w:rsid w:val="0047387D"/>
    <w:rsid w:val="004738C9"/>
    <w:rsid w:val="00473D86"/>
    <w:rsid w:val="00474B9F"/>
    <w:rsid w:val="00475548"/>
    <w:rsid w:val="004761F7"/>
    <w:rsid w:val="0047657A"/>
    <w:rsid w:val="004765C7"/>
    <w:rsid w:val="004768B4"/>
    <w:rsid w:val="00476BFE"/>
    <w:rsid w:val="00476DE6"/>
    <w:rsid w:val="00477030"/>
    <w:rsid w:val="0047715F"/>
    <w:rsid w:val="0047746B"/>
    <w:rsid w:val="004774B0"/>
    <w:rsid w:val="0047766D"/>
    <w:rsid w:val="004777A0"/>
    <w:rsid w:val="00480259"/>
    <w:rsid w:val="0048058C"/>
    <w:rsid w:val="0048067C"/>
    <w:rsid w:val="00480781"/>
    <w:rsid w:val="00480CB8"/>
    <w:rsid w:val="00480FF2"/>
    <w:rsid w:val="004810C1"/>
    <w:rsid w:val="00481825"/>
    <w:rsid w:val="00481A0B"/>
    <w:rsid w:val="00481B1D"/>
    <w:rsid w:val="00481F2D"/>
    <w:rsid w:val="00482029"/>
    <w:rsid w:val="004821E0"/>
    <w:rsid w:val="00483EEA"/>
    <w:rsid w:val="004847EB"/>
    <w:rsid w:val="00484C22"/>
    <w:rsid w:val="004856F4"/>
    <w:rsid w:val="00485B60"/>
    <w:rsid w:val="00485C30"/>
    <w:rsid w:val="00485C9E"/>
    <w:rsid w:val="00485E7A"/>
    <w:rsid w:val="00486283"/>
    <w:rsid w:val="004864BD"/>
    <w:rsid w:val="0048659B"/>
    <w:rsid w:val="00486C13"/>
    <w:rsid w:val="004875BB"/>
    <w:rsid w:val="00487E28"/>
    <w:rsid w:val="0049055A"/>
    <w:rsid w:val="00490A69"/>
    <w:rsid w:val="00491266"/>
    <w:rsid w:val="00491937"/>
    <w:rsid w:val="00492456"/>
    <w:rsid w:val="0049250F"/>
    <w:rsid w:val="004928FA"/>
    <w:rsid w:val="00492B72"/>
    <w:rsid w:val="0049337F"/>
    <w:rsid w:val="004933CA"/>
    <w:rsid w:val="004935D0"/>
    <w:rsid w:val="00493779"/>
    <w:rsid w:val="004937D8"/>
    <w:rsid w:val="00493BF2"/>
    <w:rsid w:val="00493C57"/>
    <w:rsid w:val="00493D74"/>
    <w:rsid w:val="00494643"/>
    <w:rsid w:val="0049466A"/>
    <w:rsid w:val="00494AE5"/>
    <w:rsid w:val="00494C06"/>
    <w:rsid w:val="00495B95"/>
    <w:rsid w:val="00495E7F"/>
    <w:rsid w:val="00496028"/>
    <w:rsid w:val="004969B3"/>
    <w:rsid w:val="00496A04"/>
    <w:rsid w:val="00496A95"/>
    <w:rsid w:val="00497311"/>
    <w:rsid w:val="00497F9E"/>
    <w:rsid w:val="004A0291"/>
    <w:rsid w:val="004A08BF"/>
    <w:rsid w:val="004A0DC8"/>
    <w:rsid w:val="004A0E41"/>
    <w:rsid w:val="004A1C76"/>
    <w:rsid w:val="004A1D08"/>
    <w:rsid w:val="004A3052"/>
    <w:rsid w:val="004A3420"/>
    <w:rsid w:val="004A37F4"/>
    <w:rsid w:val="004A3825"/>
    <w:rsid w:val="004A4270"/>
    <w:rsid w:val="004A4833"/>
    <w:rsid w:val="004A4B41"/>
    <w:rsid w:val="004A4EA4"/>
    <w:rsid w:val="004A5218"/>
    <w:rsid w:val="004A571F"/>
    <w:rsid w:val="004A57ED"/>
    <w:rsid w:val="004A5828"/>
    <w:rsid w:val="004A59C1"/>
    <w:rsid w:val="004A5A43"/>
    <w:rsid w:val="004A6402"/>
    <w:rsid w:val="004A6AB8"/>
    <w:rsid w:val="004A6CB2"/>
    <w:rsid w:val="004A6DA1"/>
    <w:rsid w:val="004A7834"/>
    <w:rsid w:val="004A7999"/>
    <w:rsid w:val="004A79F4"/>
    <w:rsid w:val="004A7E32"/>
    <w:rsid w:val="004A7E98"/>
    <w:rsid w:val="004A7F20"/>
    <w:rsid w:val="004B0A2C"/>
    <w:rsid w:val="004B0DEC"/>
    <w:rsid w:val="004B13D6"/>
    <w:rsid w:val="004B1DA6"/>
    <w:rsid w:val="004B1E26"/>
    <w:rsid w:val="004B23FF"/>
    <w:rsid w:val="004B2474"/>
    <w:rsid w:val="004B298C"/>
    <w:rsid w:val="004B2AB4"/>
    <w:rsid w:val="004B2BFF"/>
    <w:rsid w:val="004B2EA9"/>
    <w:rsid w:val="004B3222"/>
    <w:rsid w:val="004B3693"/>
    <w:rsid w:val="004B3AD6"/>
    <w:rsid w:val="004B457B"/>
    <w:rsid w:val="004B4607"/>
    <w:rsid w:val="004B4769"/>
    <w:rsid w:val="004B4AB3"/>
    <w:rsid w:val="004B4BB0"/>
    <w:rsid w:val="004B4E1E"/>
    <w:rsid w:val="004B54FA"/>
    <w:rsid w:val="004B5655"/>
    <w:rsid w:val="004B56E0"/>
    <w:rsid w:val="004B5FBD"/>
    <w:rsid w:val="004B6A02"/>
    <w:rsid w:val="004B6BF5"/>
    <w:rsid w:val="004B7447"/>
    <w:rsid w:val="004B7BC4"/>
    <w:rsid w:val="004C0154"/>
    <w:rsid w:val="004C0B04"/>
    <w:rsid w:val="004C0D4E"/>
    <w:rsid w:val="004C1270"/>
    <w:rsid w:val="004C1403"/>
    <w:rsid w:val="004C155B"/>
    <w:rsid w:val="004C16FC"/>
    <w:rsid w:val="004C180F"/>
    <w:rsid w:val="004C1993"/>
    <w:rsid w:val="004C1AE8"/>
    <w:rsid w:val="004C2348"/>
    <w:rsid w:val="004C26E1"/>
    <w:rsid w:val="004C2A86"/>
    <w:rsid w:val="004C2F49"/>
    <w:rsid w:val="004C415C"/>
    <w:rsid w:val="004C471E"/>
    <w:rsid w:val="004C505D"/>
    <w:rsid w:val="004C52B2"/>
    <w:rsid w:val="004C53BC"/>
    <w:rsid w:val="004C5B78"/>
    <w:rsid w:val="004C5ECA"/>
    <w:rsid w:val="004C6061"/>
    <w:rsid w:val="004C607A"/>
    <w:rsid w:val="004C6097"/>
    <w:rsid w:val="004C60E6"/>
    <w:rsid w:val="004C6C2E"/>
    <w:rsid w:val="004C6FD1"/>
    <w:rsid w:val="004C736F"/>
    <w:rsid w:val="004C76E6"/>
    <w:rsid w:val="004C7D44"/>
    <w:rsid w:val="004D08DB"/>
    <w:rsid w:val="004D08FE"/>
    <w:rsid w:val="004D0943"/>
    <w:rsid w:val="004D09CD"/>
    <w:rsid w:val="004D0ACA"/>
    <w:rsid w:val="004D0EBB"/>
    <w:rsid w:val="004D10A8"/>
    <w:rsid w:val="004D1117"/>
    <w:rsid w:val="004D11C8"/>
    <w:rsid w:val="004D12AA"/>
    <w:rsid w:val="004D1B44"/>
    <w:rsid w:val="004D1F1A"/>
    <w:rsid w:val="004D2648"/>
    <w:rsid w:val="004D2BD0"/>
    <w:rsid w:val="004D2C4A"/>
    <w:rsid w:val="004D2D5B"/>
    <w:rsid w:val="004D3108"/>
    <w:rsid w:val="004D3352"/>
    <w:rsid w:val="004D394B"/>
    <w:rsid w:val="004D3C04"/>
    <w:rsid w:val="004D3E51"/>
    <w:rsid w:val="004D3F0D"/>
    <w:rsid w:val="004D457E"/>
    <w:rsid w:val="004D45EB"/>
    <w:rsid w:val="004D4695"/>
    <w:rsid w:val="004D478F"/>
    <w:rsid w:val="004D52E9"/>
    <w:rsid w:val="004D536E"/>
    <w:rsid w:val="004D5C2B"/>
    <w:rsid w:val="004D5E4E"/>
    <w:rsid w:val="004D67CC"/>
    <w:rsid w:val="004D7161"/>
    <w:rsid w:val="004D721A"/>
    <w:rsid w:val="004D722C"/>
    <w:rsid w:val="004D7290"/>
    <w:rsid w:val="004D7452"/>
    <w:rsid w:val="004D778F"/>
    <w:rsid w:val="004D78D2"/>
    <w:rsid w:val="004D790F"/>
    <w:rsid w:val="004D7BD4"/>
    <w:rsid w:val="004E01BF"/>
    <w:rsid w:val="004E0A68"/>
    <w:rsid w:val="004E0B26"/>
    <w:rsid w:val="004E10F2"/>
    <w:rsid w:val="004E121C"/>
    <w:rsid w:val="004E13F5"/>
    <w:rsid w:val="004E177A"/>
    <w:rsid w:val="004E18B5"/>
    <w:rsid w:val="004E1C19"/>
    <w:rsid w:val="004E2383"/>
    <w:rsid w:val="004E2B53"/>
    <w:rsid w:val="004E3272"/>
    <w:rsid w:val="004E3717"/>
    <w:rsid w:val="004E3DBA"/>
    <w:rsid w:val="004E405D"/>
    <w:rsid w:val="004E4B11"/>
    <w:rsid w:val="004E57E8"/>
    <w:rsid w:val="004E5E57"/>
    <w:rsid w:val="004E5ED4"/>
    <w:rsid w:val="004E61C5"/>
    <w:rsid w:val="004E6877"/>
    <w:rsid w:val="004E69A5"/>
    <w:rsid w:val="004E7174"/>
    <w:rsid w:val="004E71A1"/>
    <w:rsid w:val="004E7AD8"/>
    <w:rsid w:val="004F01AD"/>
    <w:rsid w:val="004F0BA2"/>
    <w:rsid w:val="004F0C7B"/>
    <w:rsid w:val="004F187D"/>
    <w:rsid w:val="004F1C3D"/>
    <w:rsid w:val="004F21AE"/>
    <w:rsid w:val="004F21BE"/>
    <w:rsid w:val="004F278D"/>
    <w:rsid w:val="004F27CA"/>
    <w:rsid w:val="004F2A24"/>
    <w:rsid w:val="004F2F5A"/>
    <w:rsid w:val="004F2F69"/>
    <w:rsid w:val="004F3510"/>
    <w:rsid w:val="004F4368"/>
    <w:rsid w:val="004F53D7"/>
    <w:rsid w:val="004F5867"/>
    <w:rsid w:val="004F59ED"/>
    <w:rsid w:val="004F5C7F"/>
    <w:rsid w:val="004F75FA"/>
    <w:rsid w:val="004F773A"/>
    <w:rsid w:val="004F7754"/>
    <w:rsid w:val="005001F9"/>
    <w:rsid w:val="00500249"/>
    <w:rsid w:val="005006DE"/>
    <w:rsid w:val="005008B2"/>
    <w:rsid w:val="00501A8D"/>
    <w:rsid w:val="00501B81"/>
    <w:rsid w:val="00501CFF"/>
    <w:rsid w:val="005023AC"/>
    <w:rsid w:val="00502A36"/>
    <w:rsid w:val="00502C83"/>
    <w:rsid w:val="00502EB7"/>
    <w:rsid w:val="00503563"/>
    <w:rsid w:val="00503841"/>
    <w:rsid w:val="00503948"/>
    <w:rsid w:val="005043BD"/>
    <w:rsid w:val="005045DF"/>
    <w:rsid w:val="00504B5F"/>
    <w:rsid w:val="00506485"/>
    <w:rsid w:val="005067B5"/>
    <w:rsid w:val="005067E3"/>
    <w:rsid w:val="00506862"/>
    <w:rsid w:val="00506C12"/>
    <w:rsid w:val="00506FC0"/>
    <w:rsid w:val="00507B8B"/>
    <w:rsid w:val="00507D15"/>
    <w:rsid w:val="0051041D"/>
    <w:rsid w:val="0051065A"/>
    <w:rsid w:val="005108A1"/>
    <w:rsid w:val="00510DCE"/>
    <w:rsid w:val="005113EA"/>
    <w:rsid w:val="0051162F"/>
    <w:rsid w:val="00511726"/>
    <w:rsid w:val="00511952"/>
    <w:rsid w:val="005119E2"/>
    <w:rsid w:val="00513164"/>
    <w:rsid w:val="005139A2"/>
    <w:rsid w:val="005142D5"/>
    <w:rsid w:val="00514305"/>
    <w:rsid w:val="00514AFC"/>
    <w:rsid w:val="00514C34"/>
    <w:rsid w:val="005150CC"/>
    <w:rsid w:val="005152F6"/>
    <w:rsid w:val="005154B7"/>
    <w:rsid w:val="00515D43"/>
    <w:rsid w:val="00515FE1"/>
    <w:rsid w:val="00516381"/>
    <w:rsid w:val="00516D1B"/>
    <w:rsid w:val="00517514"/>
    <w:rsid w:val="00517EEE"/>
    <w:rsid w:val="00520FB4"/>
    <w:rsid w:val="005215C4"/>
    <w:rsid w:val="00521F5C"/>
    <w:rsid w:val="00521F99"/>
    <w:rsid w:val="005229AC"/>
    <w:rsid w:val="005229CC"/>
    <w:rsid w:val="00523514"/>
    <w:rsid w:val="005235E0"/>
    <w:rsid w:val="00523863"/>
    <w:rsid w:val="00523AB9"/>
    <w:rsid w:val="00523EE4"/>
    <w:rsid w:val="00524279"/>
    <w:rsid w:val="00524B01"/>
    <w:rsid w:val="00525204"/>
    <w:rsid w:val="005255E5"/>
    <w:rsid w:val="005256BE"/>
    <w:rsid w:val="00525A3F"/>
    <w:rsid w:val="00525B56"/>
    <w:rsid w:val="0052619E"/>
    <w:rsid w:val="00526313"/>
    <w:rsid w:val="005267C0"/>
    <w:rsid w:val="00526F56"/>
    <w:rsid w:val="00527379"/>
    <w:rsid w:val="005308F8"/>
    <w:rsid w:val="00531095"/>
    <w:rsid w:val="005313FD"/>
    <w:rsid w:val="00531B87"/>
    <w:rsid w:val="00532158"/>
    <w:rsid w:val="00532750"/>
    <w:rsid w:val="00532F41"/>
    <w:rsid w:val="00533787"/>
    <w:rsid w:val="00533991"/>
    <w:rsid w:val="00534431"/>
    <w:rsid w:val="005344F1"/>
    <w:rsid w:val="005346B2"/>
    <w:rsid w:val="0053495B"/>
    <w:rsid w:val="00534A63"/>
    <w:rsid w:val="005351AE"/>
    <w:rsid w:val="005353F6"/>
    <w:rsid w:val="00535E3F"/>
    <w:rsid w:val="00536373"/>
    <w:rsid w:val="005373A4"/>
    <w:rsid w:val="005374BA"/>
    <w:rsid w:val="0053756D"/>
    <w:rsid w:val="00537EEA"/>
    <w:rsid w:val="00540752"/>
    <w:rsid w:val="00540A7B"/>
    <w:rsid w:val="00540C7A"/>
    <w:rsid w:val="005412A9"/>
    <w:rsid w:val="0054194E"/>
    <w:rsid w:val="00541A6F"/>
    <w:rsid w:val="00541A7A"/>
    <w:rsid w:val="00542C6D"/>
    <w:rsid w:val="005438B0"/>
    <w:rsid w:val="00543F79"/>
    <w:rsid w:val="00544030"/>
    <w:rsid w:val="00544160"/>
    <w:rsid w:val="005444B0"/>
    <w:rsid w:val="00544B46"/>
    <w:rsid w:val="0054535F"/>
    <w:rsid w:val="00545418"/>
    <w:rsid w:val="005457F1"/>
    <w:rsid w:val="00545D91"/>
    <w:rsid w:val="00546304"/>
    <w:rsid w:val="005463A8"/>
    <w:rsid w:val="00546530"/>
    <w:rsid w:val="0054696D"/>
    <w:rsid w:val="00547164"/>
    <w:rsid w:val="005471AA"/>
    <w:rsid w:val="00547458"/>
    <w:rsid w:val="00547533"/>
    <w:rsid w:val="00547BCE"/>
    <w:rsid w:val="00547E10"/>
    <w:rsid w:val="00550299"/>
    <w:rsid w:val="005510D7"/>
    <w:rsid w:val="005511A7"/>
    <w:rsid w:val="0055129A"/>
    <w:rsid w:val="00551727"/>
    <w:rsid w:val="00551E46"/>
    <w:rsid w:val="00552A71"/>
    <w:rsid w:val="00552D32"/>
    <w:rsid w:val="00553015"/>
    <w:rsid w:val="0055319A"/>
    <w:rsid w:val="00553969"/>
    <w:rsid w:val="00553C59"/>
    <w:rsid w:val="005546B5"/>
    <w:rsid w:val="00554849"/>
    <w:rsid w:val="00554994"/>
    <w:rsid w:val="00554C55"/>
    <w:rsid w:val="00554E39"/>
    <w:rsid w:val="00554F91"/>
    <w:rsid w:val="005550A4"/>
    <w:rsid w:val="00555177"/>
    <w:rsid w:val="005551BA"/>
    <w:rsid w:val="0055537B"/>
    <w:rsid w:val="00555FBA"/>
    <w:rsid w:val="00556123"/>
    <w:rsid w:val="0055666D"/>
    <w:rsid w:val="005567FD"/>
    <w:rsid w:val="00556AA0"/>
    <w:rsid w:val="00556F34"/>
    <w:rsid w:val="00557176"/>
    <w:rsid w:val="00557787"/>
    <w:rsid w:val="00557A54"/>
    <w:rsid w:val="00560072"/>
    <w:rsid w:val="005602A9"/>
    <w:rsid w:val="00560628"/>
    <w:rsid w:val="005617A2"/>
    <w:rsid w:val="00561AE1"/>
    <w:rsid w:val="00561B08"/>
    <w:rsid w:val="00561CE6"/>
    <w:rsid w:val="00562023"/>
    <w:rsid w:val="005634AF"/>
    <w:rsid w:val="005638E8"/>
    <w:rsid w:val="00563B24"/>
    <w:rsid w:val="00564276"/>
    <w:rsid w:val="00565398"/>
    <w:rsid w:val="005657ED"/>
    <w:rsid w:val="0056582D"/>
    <w:rsid w:val="00565DE4"/>
    <w:rsid w:val="00565ECB"/>
    <w:rsid w:val="005661F1"/>
    <w:rsid w:val="0056695A"/>
    <w:rsid w:val="005669A2"/>
    <w:rsid w:val="005678B3"/>
    <w:rsid w:val="005679AA"/>
    <w:rsid w:val="00567AC3"/>
    <w:rsid w:val="005705B2"/>
    <w:rsid w:val="00570B1B"/>
    <w:rsid w:val="0057141B"/>
    <w:rsid w:val="00571537"/>
    <w:rsid w:val="0057157C"/>
    <w:rsid w:val="005716AE"/>
    <w:rsid w:val="005719D0"/>
    <w:rsid w:val="005720F5"/>
    <w:rsid w:val="005724EA"/>
    <w:rsid w:val="00572F13"/>
    <w:rsid w:val="00572FF8"/>
    <w:rsid w:val="00573241"/>
    <w:rsid w:val="0057325A"/>
    <w:rsid w:val="00573C60"/>
    <w:rsid w:val="00573FB8"/>
    <w:rsid w:val="00574257"/>
    <w:rsid w:val="0057499F"/>
    <w:rsid w:val="00575308"/>
    <w:rsid w:val="00575678"/>
    <w:rsid w:val="0057570E"/>
    <w:rsid w:val="00575785"/>
    <w:rsid w:val="00575896"/>
    <w:rsid w:val="0057629C"/>
    <w:rsid w:val="005763E3"/>
    <w:rsid w:val="00576872"/>
    <w:rsid w:val="00576C93"/>
    <w:rsid w:val="00577627"/>
    <w:rsid w:val="005777D6"/>
    <w:rsid w:val="00577D21"/>
    <w:rsid w:val="00577D8E"/>
    <w:rsid w:val="00580207"/>
    <w:rsid w:val="00580215"/>
    <w:rsid w:val="005803C0"/>
    <w:rsid w:val="00580BED"/>
    <w:rsid w:val="00581628"/>
    <w:rsid w:val="005817F2"/>
    <w:rsid w:val="0058196C"/>
    <w:rsid w:val="00582332"/>
    <w:rsid w:val="00582751"/>
    <w:rsid w:val="00582C68"/>
    <w:rsid w:val="00582FA5"/>
    <w:rsid w:val="00583513"/>
    <w:rsid w:val="00583610"/>
    <w:rsid w:val="005836F6"/>
    <w:rsid w:val="0058398E"/>
    <w:rsid w:val="00583ADA"/>
    <w:rsid w:val="00583D9E"/>
    <w:rsid w:val="005849B9"/>
    <w:rsid w:val="005849FD"/>
    <w:rsid w:val="005850B3"/>
    <w:rsid w:val="00585628"/>
    <w:rsid w:val="00585DED"/>
    <w:rsid w:val="00585E11"/>
    <w:rsid w:val="00585F3D"/>
    <w:rsid w:val="005865AB"/>
    <w:rsid w:val="00586A7A"/>
    <w:rsid w:val="00586F3F"/>
    <w:rsid w:val="005870A7"/>
    <w:rsid w:val="005871A9"/>
    <w:rsid w:val="005874D0"/>
    <w:rsid w:val="00587840"/>
    <w:rsid w:val="00587AA6"/>
    <w:rsid w:val="00587AA9"/>
    <w:rsid w:val="00587B73"/>
    <w:rsid w:val="00587BCD"/>
    <w:rsid w:val="00587BE9"/>
    <w:rsid w:val="00587DF6"/>
    <w:rsid w:val="00587EC2"/>
    <w:rsid w:val="00590BCF"/>
    <w:rsid w:val="00590C73"/>
    <w:rsid w:val="005911E1"/>
    <w:rsid w:val="0059136B"/>
    <w:rsid w:val="005918FE"/>
    <w:rsid w:val="005928BC"/>
    <w:rsid w:val="005928C1"/>
    <w:rsid w:val="00592E4D"/>
    <w:rsid w:val="00592F35"/>
    <w:rsid w:val="00593ABC"/>
    <w:rsid w:val="00594129"/>
    <w:rsid w:val="0059489D"/>
    <w:rsid w:val="00594F3F"/>
    <w:rsid w:val="00595355"/>
    <w:rsid w:val="005958E3"/>
    <w:rsid w:val="00595E6A"/>
    <w:rsid w:val="0059662C"/>
    <w:rsid w:val="00596B4E"/>
    <w:rsid w:val="00596BC7"/>
    <w:rsid w:val="00596E4F"/>
    <w:rsid w:val="00597212"/>
    <w:rsid w:val="005977FB"/>
    <w:rsid w:val="00597D5F"/>
    <w:rsid w:val="005A00BD"/>
    <w:rsid w:val="005A083A"/>
    <w:rsid w:val="005A0A3E"/>
    <w:rsid w:val="005A0A91"/>
    <w:rsid w:val="005A0CAC"/>
    <w:rsid w:val="005A0E65"/>
    <w:rsid w:val="005A1230"/>
    <w:rsid w:val="005A12F9"/>
    <w:rsid w:val="005A183E"/>
    <w:rsid w:val="005A1FA8"/>
    <w:rsid w:val="005A21EB"/>
    <w:rsid w:val="005A2581"/>
    <w:rsid w:val="005A3205"/>
    <w:rsid w:val="005A518C"/>
    <w:rsid w:val="005A51B3"/>
    <w:rsid w:val="005A5D76"/>
    <w:rsid w:val="005A6579"/>
    <w:rsid w:val="005A6B4D"/>
    <w:rsid w:val="005A7856"/>
    <w:rsid w:val="005A79C0"/>
    <w:rsid w:val="005A7A6F"/>
    <w:rsid w:val="005A7E53"/>
    <w:rsid w:val="005A7E91"/>
    <w:rsid w:val="005B0005"/>
    <w:rsid w:val="005B0061"/>
    <w:rsid w:val="005B051A"/>
    <w:rsid w:val="005B0CF2"/>
    <w:rsid w:val="005B0FD6"/>
    <w:rsid w:val="005B12DF"/>
    <w:rsid w:val="005B1531"/>
    <w:rsid w:val="005B2095"/>
    <w:rsid w:val="005B29CF"/>
    <w:rsid w:val="005B36A7"/>
    <w:rsid w:val="005B40D6"/>
    <w:rsid w:val="005B4430"/>
    <w:rsid w:val="005B4A6A"/>
    <w:rsid w:val="005B4C38"/>
    <w:rsid w:val="005B5456"/>
    <w:rsid w:val="005B5B1A"/>
    <w:rsid w:val="005B5E0A"/>
    <w:rsid w:val="005B6070"/>
    <w:rsid w:val="005B6150"/>
    <w:rsid w:val="005B6BF9"/>
    <w:rsid w:val="005B6C18"/>
    <w:rsid w:val="005B6E74"/>
    <w:rsid w:val="005B6FD0"/>
    <w:rsid w:val="005B70A7"/>
    <w:rsid w:val="005B70BE"/>
    <w:rsid w:val="005B7B06"/>
    <w:rsid w:val="005C0163"/>
    <w:rsid w:val="005C12C4"/>
    <w:rsid w:val="005C18D2"/>
    <w:rsid w:val="005C1D23"/>
    <w:rsid w:val="005C2130"/>
    <w:rsid w:val="005C3153"/>
    <w:rsid w:val="005C3662"/>
    <w:rsid w:val="005C3D36"/>
    <w:rsid w:val="005C4084"/>
    <w:rsid w:val="005C4E0E"/>
    <w:rsid w:val="005C5100"/>
    <w:rsid w:val="005C528A"/>
    <w:rsid w:val="005C52E2"/>
    <w:rsid w:val="005C584E"/>
    <w:rsid w:val="005C5C22"/>
    <w:rsid w:val="005C662C"/>
    <w:rsid w:val="005C6734"/>
    <w:rsid w:val="005C7CE6"/>
    <w:rsid w:val="005C7D75"/>
    <w:rsid w:val="005C7F29"/>
    <w:rsid w:val="005C7FEE"/>
    <w:rsid w:val="005D0874"/>
    <w:rsid w:val="005D0AEA"/>
    <w:rsid w:val="005D1120"/>
    <w:rsid w:val="005D1532"/>
    <w:rsid w:val="005D1718"/>
    <w:rsid w:val="005D1755"/>
    <w:rsid w:val="005D1CED"/>
    <w:rsid w:val="005D2079"/>
    <w:rsid w:val="005D23B5"/>
    <w:rsid w:val="005D2A3A"/>
    <w:rsid w:val="005D2C5B"/>
    <w:rsid w:val="005D2CA0"/>
    <w:rsid w:val="005D3020"/>
    <w:rsid w:val="005D3122"/>
    <w:rsid w:val="005D3472"/>
    <w:rsid w:val="005D38E7"/>
    <w:rsid w:val="005D3EE5"/>
    <w:rsid w:val="005D4A5C"/>
    <w:rsid w:val="005D4D2F"/>
    <w:rsid w:val="005D546A"/>
    <w:rsid w:val="005D5FFD"/>
    <w:rsid w:val="005D61BA"/>
    <w:rsid w:val="005D7340"/>
    <w:rsid w:val="005D792F"/>
    <w:rsid w:val="005D7AD5"/>
    <w:rsid w:val="005E01A3"/>
    <w:rsid w:val="005E02A6"/>
    <w:rsid w:val="005E0328"/>
    <w:rsid w:val="005E0637"/>
    <w:rsid w:val="005E07C7"/>
    <w:rsid w:val="005E0987"/>
    <w:rsid w:val="005E2267"/>
    <w:rsid w:val="005E2C49"/>
    <w:rsid w:val="005E2D8B"/>
    <w:rsid w:val="005E3042"/>
    <w:rsid w:val="005E3174"/>
    <w:rsid w:val="005E33F1"/>
    <w:rsid w:val="005E368F"/>
    <w:rsid w:val="005E3714"/>
    <w:rsid w:val="005E469C"/>
    <w:rsid w:val="005E493D"/>
    <w:rsid w:val="005E4DF0"/>
    <w:rsid w:val="005E5166"/>
    <w:rsid w:val="005E51EF"/>
    <w:rsid w:val="005E58A6"/>
    <w:rsid w:val="005E5C7C"/>
    <w:rsid w:val="005E5F31"/>
    <w:rsid w:val="005E6941"/>
    <w:rsid w:val="005E6A60"/>
    <w:rsid w:val="005E6D38"/>
    <w:rsid w:val="005E6DFF"/>
    <w:rsid w:val="005E7152"/>
    <w:rsid w:val="005E736D"/>
    <w:rsid w:val="005E7595"/>
    <w:rsid w:val="005E76F2"/>
    <w:rsid w:val="005E7D36"/>
    <w:rsid w:val="005E7ED3"/>
    <w:rsid w:val="005E7F9D"/>
    <w:rsid w:val="005F0033"/>
    <w:rsid w:val="005F00E7"/>
    <w:rsid w:val="005F09D8"/>
    <w:rsid w:val="005F101D"/>
    <w:rsid w:val="005F10B2"/>
    <w:rsid w:val="005F1614"/>
    <w:rsid w:val="005F21C4"/>
    <w:rsid w:val="005F249B"/>
    <w:rsid w:val="005F2AD6"/>
    <w:rsid w:val="005F2B16"/>
    <w:rsid w:val="005F2B3E"/>
    <w:rsid w:val="005F2C2B"/>
    <w:rsid w:val="005F2E52"/>
    <w:rsid w:val="005F3554"/>
    <w:rsid w:val="005F362B"/>
    <w:rsid w:val="005F3970"/>
    <w:rsid w:val="005F4C0B"/>
    <w:rsid w:val="005F5258"/>
    <w:rsid w:val="005F5560"/>
    <w:rsid w:val="005F5A00"/>
    <w:rsid w:val="005F5D7E"/>
    <w:rsid w:val="005F5ED2"/>
    <w:rsid w:val="005F6398"/>
    <w:rsid w:val="005F63A9"/>
    <w:rsid w:val="005F68EE"/>
    <w:rsid w:val="005F6B3B"/>
    <w:rsid w:val="005F6D28"/>
    <w:rsid w:val="005F6ED6"/>
    <w:rsid w:val="005F7778"/>
    <w:rsid w:val="005F778F"/>
    <w:rsid w:val="005F7810"/>
    <w:rsid w:val="005F7E3F"/>
    <w:rsid w:val="00600688"/>
    <w:rsid w:val="0060073A"/>
    <w:rsid w:val="00600914"/>
    <w:rsid w:val="00600AB1"/>
    <w:rsid w:val="00600D81"/>
    <w:rsid w:val="0060105B"/>
    <w:rsid w:val="0060161F"/>
    <w:rsid w:val="00601CF3"/>
    <w:rsid w:val="00602033"/>
    <w:rsid w:val="006021F0"/>
    <w:rsid w:val="00602756"/>
    <w:rsid w:val="00602C74"/>
    <w:rsid w:val="00603032"/>
    <w:rsid w:val="006033CD"/>
    <w:rsid w:val="0060386F"/>
    <w:rsid w:val="00603FA6"/>
    <w:rsid w:val="00604B6C"/>
    <w:rsid w:val="00604EB7"/>
    <w:rsid w:val="0060537C"/>
    <w:rsid w:val="006055D4"/>
    <w:rsid w:val="00605921"/>
    <w:rsid w:val="00605940"/>
    <w:rsid w:val="00606D61"/>
    <w:rsid w:val="00607108"/>
    <w:rsid w:val="0060778C"/>
    <w:rsid w:val="006078A6"/>
    <w:rsid w:val="00607B9C"/>
    <w:rsid w:val="00607C7B"/>
    <w:rsid w:val="00607CF7"/>
    <w:rsid w:val="0061013E"/>
    <w:rsid w:val="00610313"/>
    <w:rsid w:val="00610632"/>
    <w:rsid w:val="006106A6"/>
    <w:rsid w:val="006107F4"/>
    <w:rsid w:val="00610958"/>
    <w:rsid w:val="00610BF4"/>
    <w:rsid w:val="00611369"/>
    <w:rsid w:val="0061147B"/>
    <w:rsid w:val="00611499"/>
    <w:rsid w:val="00611EF6"/>
    <w:rsid w:val="0061210F"/>
    <w:rsid w:val="00612667"/>
    <w:rsid w:val="00612695"/>
    <w:rsid w:val="006127CD"/>
    <w:rsid w:val="00612D5C"/>
    <w:rsid w:val="00613242"/>
    <w:rsid w:val="006132DD"/>
    <w:rsid w:val="00613A0C"/>
    <w:rsid w:val="00614031"/>
    <w:rsid w:val="006141B8"/>
    <w:rsid w:val="00614B90"/>
    <w:rsid w:val="00614FBC"/>
    <w:rsid w:val="006153E1"/>
    <w:rsid w:val="006154C3"/>
    <w:rsid w:val="00615EDD"/>
    <w:rsid w:val="00616224"/>
    <w:rsid w:val="0061638B"/>
    <w:rsid w:val="00616B0B"/>
    <w:rsid w:val="00616BDC"/>
    <w:rsid w:val="006175E1"/>
    <w:rsid w:val="00617803"/>
    <w:rsid w:val="0061786F"/>
    <w:rsid w:val="00617E7E"/>
    <w:rsid w:val="00620380"/>
    <w:rsid w:val="00620E6E"/>
    <w:rsid w:val="006210D3"/>
    <w:rsid w:val="00621F8B"/>
    <w:rsid w:val="00621FFE"/>
    <w:rsid w:val="00622357"/>
    <w:rsid w:val="00622963"/>
    <w:rsid w:val="00622B06"/>
    <w:rsid w:val="00623225"/>
    <w:rsid w:val="006234E3"/>
    <w:rsid w:val="00623717"/>
    <w:rsid w:val="006238B9"/>
    <w:rsid w:val="00624275"/>
    <w:rsid w:val="006243B6"/>
    <w:rsid w:val="00624A18"/>
    <w:rsid w:val="00624D07"/>
    <w:rsid w:val="00625071"/>
    <w:rsid w:val="00625941"/>
    <w:rsid w:val="00625A58"/>
    <w:rsid w:val="006265E0"/>
    <w:rsid w:val="00626A3C"/>
    <w:rsid w:val="00626BB3"/>
    <w:rsid w:val="00626C97"/>
    <w:rsid w:val="00627372"/>
    <w:rsid w:val="0062760E"/>
    <w:rsid w:val="00627964"/>
    <w:rsid w:val="00627B57"/>
    <w:rsid w:val="00630C84"/>
    <w:rsid w:val="00631179"/>
    <w:rsid w:val="00631BA4"/>
    <w:rsid w:val="00631BCC"/>
    <w:rsid w:val="00631F82"/>
    <w:rsid w:val="0063200F"/>
    <w:rsid w:val="00632073"/>
    <w:rsid w:val="0063279F"/>
    <w:rsid w:val="00632A29"/>
    <w:rsid w:val="00632A99"/>
    <w:rsid w:val="00632B76"/>
    <w:rsid w:val="00632EA2"/>
    <w:rsid w:val="00633E29"/>
    <w:rsid w:val="00634662"/>
    <w:rsid w:val="00634726"/>
    <w:rsid w:val="0063504F"/>
    <w:rsid w:val="00635055"/>
    <w:rsid w:val="00635137"/>
    <w:rsid w:val="00635157"/>
    <w:rsid w:val="00635619"/>
    <w:rsid w:val="00635654"/>
    <w:rsid w:val="0063599F"/>
    <w:rsid w:val="00635AFD"/>
    <w:rsid w:val="00636124"/>
    <w:rsid w:val="00636166"/>
    <w:rsid w:val="0063618F"/>
    <w:rsid w:val="00636257"/>
    <w:rsid w:val="00636356"/>
    <w:rsid w:val="00636645"/>
    <w:rsid w:val="00636696"/>
    <w:rsid w:val="0063677C"/>
    <w:rsid w:val="00636D7F"/>
    <w:rsid w:val="006371F5"/>
    <w:rsid w:val="00637F6D"/>
    <w:rsid w:val="006401D9"/>
    <w:rsid w:val="0064051E"/>
    <w:rsid w:val="00640BA5"/>
    <w:rsid w:val="00640E14"/>
    <w:rsid w:val="0064107C"/>
    <w:rsid w:val="006410FE"/>
    <w:rsid w:val="00641741"/>
    <w:rsid w:val="00642889"/>
    <w:rsid w:val="00642B55"/>
    <w:rsid w:val="00642D84"/>
    <w:rsid w:val="00642F4E"/>
    <w:rsid w:val="0064335F"/>
    <w:rsid w:val="00643B21"/>
    <w:rsid w:val="0064404E"/>
    <w:rsid w:val="00644515"/>
    <w:rsid w:val="00644E2B"/>
    <w:rsid w:val="006453EE"/>
    <w:rsid w:val="006454F2"/>
    <w:rsid w:val="006459F0"/>
    <w:rsid w:val="00645D30"/>
    <w:rsid w:val="00645E46"/>
    <w:rsid w:val="00646422"/>
    <w:rsid w:val="00646BD8"/>
    <w:rsid w:val="00646E93"/>
    <w:rsid w:val="006477D8"/>
    <w:rsid w:val="00647868"/>
    <w:rsid w:val="00647E32"/>
    <w:rsid w:val="0065014A"/>
    <w:rsid w:val="006503C3"/>
    <w:rsid w:val="0065079B"/>
    <w:rsid w:val="00650B59"/>
    <w:rsid w:val="006513FF"/>
    <w:rsid w:val="00651988"/>
    <w:rsid w:val="00651BFC"/>
    <w:rsid w:val="00651D99"/>
    <w:rsid w:val="0065276B"/>
    <w:rsid w:val="00652A7A"/>
    <w:rsid w:val="00652AFE"/>
    <w:rsid w:val="00652E84"/>
    <w:rsid w:val="006532E9"/>
    <w:rsid w:val="0065361B"/>
    <w:rsid w:val="006536D5"/>
    <w:rsid w:val="00653C9F"/>
    <w:rsid w:val="00653F8A"/>
    <w:rsid w:val="00654113"/>
    <w:rsid w:val="00654A46"/>
    <w:rsid w:val="00654AF8"/>
    <w:rsid w:val="00654D86"/>
    <w:rsid w:val="00654F64"/>
    <w:rsid w:val="00654F7E"/>
    <w:rsid w:val="00655006"/>
    <w:rsid w:val="0065501D"/>
    <w:rsid w:val="00655137"/>
    <w:rsid w:val="0065536C"/>
    <w:rsid w:val="0065676D"/>
    <w:rsid w:val="00656D5B"/>
    <w:rsid w:val="00656F56"/>
    <w:rsid w:val="006570D4"/>
    <w:rsid w:val="00657520"/>
    <w:rsid w:val="00657604"/>
    <w:rsid w:val="00660286"/>
    <w:rsid w:val="00660685"/>
    <w:rsid w:val="006607CF"/>
    <w:rsid w:val="00660884"/>
    <w:rsid w:val="00660BD6"/>
    <w:rsid w:val="00661440"/>
    <w:rsid w:val="00661C82"/>
    <w:rsid w:val="00661EC7"/>
    <w:rsid w:val="00662C21"/>
    <w:rsid w:val="006634B9"/>
    <w:rsid w:val="00663CE1"/>
    <w:rsid w:val="006642CA"/>
    <w:rsid w:val="0066437F"/>
    <w:rsid w:val="006644E0"/>
    <w:rsid w:val="006646B1"/>
    <w:rsid w:val="00664A78"/>
    <w:rsid w:val="00664D20"/>
    <w:rsid w:val="00664DE9"/>
    <w:rsid w:val="00665D6C"/>
    <w:rsid w:val="006666A4"/>
    <w:rsid w:val="006666DE"/>
    <w:rsid w:val="00666A52"/>
    <w:rsid w:val="00666C44"/>
    <w:rsid w:val="00666E1C"/>
    <w:rsid w:val="006670B3"/>
    <w:rsid w:val="006670CE"/>
    <w:rsid w:val="00667C29"/>
    <w:rsid w:val="00667DE8"/>
    <w:rsid w:val="006705AC"/>
    <w:rsid w:val="0067103F"/>
    <w:rsid w:val="00671AD8"/>
    <w:rsid w:val="0067209A"/>
    <w:rsid w:val="00672301"/>
    <w:rsid w:val="00672704"/>
    <w:rsid w:val="00672946"/>
    <w:rsid w:val="00672C8D"/>
    <w:rsid w:val="006731A8"/>
    <w:rsid w:val="006742F2"/>
    <w:rsid w:val="00674697"/>
    <w:rsid w:val="006749CB"/>
    <w:rsid w:val="00674E6B"/>
    <w:rsid w:val="00674FE2"/>
    <w:rsid w:val="006750A1"/>
    <w:rsid w:val="0067559E"/>
    <w:rsid w:val="006756FC"/>
    <w:rsid w:val="00675882"/>
    <w:rsid w:val="0067640E"/>
    <w:rsid w:val="0067644F"/>
    <w:rsid w:val="006768FA"/>
    <w:rsid w:val="00676928"/>
    <w:rsid w:val="00676F2C"/>
    <w:rsid w:val="006774C4"/>
    <w:rsid w:val="006778D5"/>
    <w:rsid w:val="00677CAE"/>
    <w:rsid w:val="00680000"/>
    <w:rsid w:val="00680102"/>
    <w:rsid w:val="006802E2"/>
    <w:rsid w:val="00680359"/>
    <w:rsid w:val="00680651"/>
    <w:rsid w:val="00680D58"/>
    <w:rsid w:val="00680DB4"/>
    <w:rsid w:val="00680E3F"/>
    <w:rsid w:val="00680F9E"/>
    <w:rsid w:val="006810D3"/>
    <w:rsid w:val="00681688"/>
    <w:rsid w:val="006816A9"/>
    <w:rsid w:val="00681744"/>
    <w:rsid w:val="00681A7A"/>
    <w:rsid w:val="00681A83"/>
    <w:rsid w:val="00682384"/>
    <w:rsid w:val="0068238D"/>
    <w:rsid w:val="00682C3B"/>
    <w:rsid w:val="00682D90"/>
    <w:rsid w:val="00683D7B"/>
    <w:rsid w:val="00683DF4"/>
    <w:rsid w:val="00684498"/>
    <w:rsid w:val="00684C1D"/>
    <w:rsid w:val="00684E26"/>
    <w:rsid w:val="00685ADB"/>
    <w:rsid w:val="0068665C"/>
    <w:rsid w:val="006867E0"/>
    <w:rsid w:val="0068797A"/>
    <w:rsid w:val="00687A42"/>
    <w:rsid w:val="00690197"/>
    <w:rsid w:val="00690940"/>
    <w:rsid w:val="00690967"/>
    <w:rsid w:val="00690D44"/>
    <w:rsid w:val="00691317"/>
    <w:rsid w:val="00691408"/>
    <w:rsid w:val="006915C9"/>
    <w:rsid w:val="00691ACE"/>
    <w:rsid w:val="00692343"/>
    <w:rsid w:val="00692562"/>
    <w:rsid w:val="006926FB"/>
    <w:rsid w:val="0069314C"/>
    <w:rsid w:val="006935D3"/>
    <w:rsid w:val="0069368C"/>
    <w:rsid w:val="00694225"/>
    <w:rsid w:val="006942A7"/>
    <w:rsid w:val="0069449D"/>
    <w:rsid w:val="00694CE9"/>
    <w:rsid w:val="00695093"/>
    <w:rsid w:val="006956F0"/>
    <w:rsid w:val="00695E8F"/>
    <w:rsid w:val="00695F2C"/>
    <w:rsid w:val="0069613E"/>
    <w:rsid w:val="00696259"/>
    <w:rsid w:val="00696465"/>
    <w:rsid w:val="00696510"/>
    <w:rsid w:val="00696A6E"/>
    <w:rsid w:val="00697175"/>
    <w:rsid w:val="00697735"/>
    <w:rsid w:val="00697756"/>
    <w:rsid w:val="00697E94"/>
    <w:rsid w:val="00697ED9"/>
    <w:rsid w:val="00697F6D"/>
    <w:rsid w:val="006A00E2"/>
    <w:rsid w:val="006A021C"/>
    <w:rsid w:val="006A02D9"/>
    <w:rsid w:val="006A08DC"/>
    <w:rsid w:val="006A0DDE"/>
    <w:rsid w:val="006A1100"/>
    <w:rsid w:val="006A1782"/>
    <w:rsid w:val="006A1BBA"/>
    <w:rsid w:val="006A22E9"/>
    <w:rsid w:val="006A2D67"/>
    <w:rsid w:val="006A2D6E"/>
    <w:rsid w:val="006A33D8"/>
    <w:rsid w:val="006A3973"/>
    <w:rsid w:val="006A4189"/>
    <w:rsid w:val="006A45E3"/>
    <w:rsid w:val="006A49F4"/>
    <w:rsid w:val="006A4A7A"/>
    <w:rsid w:val="006A4AB9"/>
    <w:rsid w:val="006A5052"/>
    <w:rsid w:val="006A55D6"/>
    <w:rsid w:val="006A599A"/>
    <w:rsid w:val="006A5F7F"/>
    <w:rsid w:val="006A607F"/>
    <w:rsid w:val="006A65F6"/>
    <w:rsid w:val="006A6EAE"/>
    <w:rsid w:val="006A7325"/>
    <w:rsid w:val="006A78A6"/>
    <w:rsid w:val="006A7C93"/>
    <w:rsid w:val="006A7C94"/>
    <w:rsid w:val="006B0256"/>
    <w:rsid w:val="006B0876"/>
    <w:rsid w:val="006B0BCA"/>
    <w:rsid w:val="006B0BE1"/>
    <w:rsid w:val="006B1862"/>
    <w:rsid w:val="006B18DD"/>
    <w:rsid w:val="006B226B"/>
    <w:rsid w:val="006B2375"/>
    <w:rsid w:val="006B245E"/>
    <w:rsid w:val="006B2995"/>
    <w:rsid w:val="006B2AF6"/>
    <w:rsid w:val="006B2D52"/>
    <w:rsid w:val="006B35C4"/>
    <w:rsid w:val="006B3903"/>
    <w:rsid w:val="006B3EB2"/>
    <w:rsid w:val="006B3EF6"/>
    <w:rsid w:val="006B3F9C"/>
    <w:rsid w:val="006B416B"/>
    <w:rsid w:val="006B425A"/>
    <w:rsid w:val="006B429C"/>
    <w:rsid w:val="006B4799"/>
    <w:rsid w:val="006B47A1"/>
    <w:rsid w:val="006B4FEA"/>
    <w:rsid w:val="006B51AA"/>
    <w:rsid w:val="006B53C8"/>
    <w:rsid w:val="006B5452"/>
    <w:rsid w:val="006B5AC3"/>
    <w:rsid w:val="006B5EE9"/>
    <w:rsid w:val="006B63BA"/>
    <w:rsid w:val="006B64DD"/>
    <w:rsid w:val="006B67B0"/>
    <w:rsid w:val="006B6844"/>
    <w:rsid w:val="006B7664"/>
    <w:rsid w:val="006B7970"/>
    <w:rsid w:val="006B7CD6"/>
    <w:rsid w:val="006C00E6"/>
    <w:rsid w:val="006C0D0C"/>
    <w:rsid w:val="006C18AE"/>
    <w:rsid w:val="006C2452"/>
    <w:rsid w:val="006C26A5"/>
    <w:rsid w:val="006C2AD4"/>
    <w:rsid w:val="006C318B"/>
    <w:rsid w:val="006C3ABC"/>
    <w:rsid w:val="006C421D"/>
    <w:rsid w:val="006C4F8E"/>
    <w:rsid w:val="006C51E9"/>
    <w:rsid w:val="006C55C3"/>
    <w:rsid w:val="006C58AA"/>
    <w:rsid w:val="006C5905"/>
    <w:rsid w:val="006C5AA3"/>
    <w:rsid w:val="006C5AF3"/>
    <w:rsid w:val="006C5B8D"/>
    <w:rsid w:val="006C5F9D"/>
    <w:rsid w:val="006C6C5E"/>
    <w:rsid w:val="006C6E55"/>
    <w:rsid w:val="006C7302"/>
    <w:rsid w:val="006C7A61"/>
    <w:rsid w:val="006C7EC8"/>
    <w:rsid w:val="006C7FFD"/>
    <w:rsid w:val="006D0212"/>
    <w:rsid w:val="006D0586"/>
    <w:rsid w:val="006D08A1"/>
    <w:rsid w:val="006D08F5"/>
    <w:rsid w:val="006D0BBA"/>
    <w:rsid w:val="006D1046"/>
    <w:rsid w:val="006D10CB"/>
    <w:rsid w:val="006D14FB"/>
    <w:rsid w:val="006D17B4"/>
    <w:rsid w:val="006D18C6"/>
    <w:rsid w:val="006D1CB8"/>
    <w:rsid w:val="006D1FA2"/>
    <w:rsid w:val="006D271B"/>
    <w:rsid w:val="006D2ADE"/>
    <w:rsid w:val="006D2C07"/>
    <w:rsid w:val="006D3448"/>
    <w:rsid w:val="006D34B7"/>
    <w:rsid w:val="006D350D"/>
    <w:rsid w:val="006D3733"/>
    <w:rsid w:val="006D37B4"/>
    <w:rsid w:val="006D3F1B"/>
    <w:rsid w:val="006D4063"/>
    <w:rsid w:val="006D43DD"/>
    <w:rsid w:val="006D4F14"/>
    <w:rsid w:val="006D5634"/>
    <w:rsid w:val="006D5AF5"/>
    <w:rsid w:val="006D5E77"/>
    <w:rsid w:val="006D5F19"/>
    <w:rsid w:val="006D661A"/>
    <w:rsid w:val="006D662B"/>
    <w:rsid w:val="006D6CBD"/>
    <w:rsid w:val="006E029D"/>
    <w:rsid w:val="006E0749"/>
    <w:rsid w:val="006E0D62"/>
    <w:rsid w:val="006E20AD"/>
    <w:rsid w:val="006E20C1"/>
    <w:rsid w:val="006E21E9"/>
    <w:rsid w:val="006E2551"/>
    <w:rsid w:val="006E39F6"/>
    <w:rsid w:val="006E3C30"/>
    <w:rsid w:val="006E3C54"/>
    <w:rsid w:val="006E3EC6"/>
    <w:rsid w:val="006E405A"/>
    <w:rsid w:val="006E4696"/>
    <w:rsid w:val="006E4C11"/>
    <w:rsid w:val="006E50C6"/>
    <w:rsid w:val="006E53A2"/>
    <w:rsid w:val="006E5789"/>
    <w:rsid w:val="006E5C95"/>
    <w:rsid w:val="006E5FC0"/>
    <w:rsid w:val="006E61B8"/>
    <w:rsid w:val="006E63F6"/>
    <w:rsid w:val="006E64A5"/>
    <w:rsid w:val="006E64F0"/>
    <w:rsid w:val="006E70BA"/>
    <w:rsid w:val="006E7C8F"/>
    <w:rsid w:val="006E7D09"/>
    <w:rsid w:val="006F0294"/>
    <w:rsid w:val="006F05EA"/>
    <w:rsid w:val="006F0C7F"/>
    <w:rsid w:val="006F0C93"/>
    <w:rsid w:val="006F0ED8"/>
    <w:rsid w:val="006F0F9C"/>
    <w:rsid w:val="006F122A"/>
    <w:rsid w:val="006F12F4"/>
    <w:rsid w:val="006F17BD"/>
    <w:rsid w:val="006F1A3C"/>
    <w:rsid w:val="006F22B1"/>
    <w:rsid w:val="006F318B"/>
    <w:rsid w:val="006F324D"/>
    <w:rsid w:val="006F3822"/>
    <w:rsid w:val="006F38C7"/>
    <w:rsid w:val="006F3BBC"/>
    <w:rsid w:val="006F3E1B"/>
    <w:rsid w:val="006F4682"/>
    <w:rsid w:val="006F5570"/>
    <w:rsid w:val="006F57C4"/>
    <w:rsid w:val="006F6381"/>
    <w:rsid w:val="006F69E7"/>
    <w:rsid w:val="006F69FA"/>
    <w:rsid w:val="006F6BCC"/>
    <w:rsid w:val="006F6ED8"/>
    <w:rsid w:val="006F723B"/>
    <w:rsid w:val="006F7C7E"/>
    <w:rsid w:val="006F7D92"/>
    <w:rsid w:val="0070019D"/>
    <w:rsid w:val="00700588"/>
    <w:rsid w:val="0070093E"/>
    <w:rsid w:val="00700BF5"/>
    <w:rsid w:val="00701AD7"/>
    <w:rsid w:val="0070207B"/>
    <w:rsid w:val="007024E2"/>
    <w:rsid w:val="0070269A"/>
    <w:rsid w:val="0070312B"/>
    <w:rsid w:val="007036D0"/>
    <w:rsid w:val="00703907"/>
    <w:rsid w:val="00703A3F"/>
    <w:rsid w:val="00703D52"/>
    <w:rsid w:val="00703F3F"/>
    <w:rsid w:val="00703FDE"/>
    <w:rsid w:val="0070403F"/>
    <w:rsid w:val="007040C4"/>
    <w:rsid w:val="00704DFF"/>
    <w:rsid w:val="00704EE1"/>
    <w:rsid w:val="007058A6"/>
    <w:rsid w:val="00705A7C"/>
    <w:rsid w:val="0070690E"/>
    <w:rsid w:val="00706E00"/>
    <w:rsid w:val="00706F56"/>
    <w:rsid w:val="0070713B"/>
    <w:rsid w:val="0070718E"/>
    <w:rsid w:val="0070792C"/>
    <w:rsid w:val="00707BB9"/>
    <w:rsid w:val="007105E6"/>
    <w:rsid w:val="007106F4"/>
    <w:rsid w:val="007108AA"/>
    <w:rsid w:val="00710A9F"/>
    <w:rsid w:val="00710ADA"/>
    <w:rsid w:val="007115AA"/>
    <w:rsid w:val="00711A30"/>
    <w:rsid w:val="00711B1C"/>
    <w:rsid w:val="0071269D"/>
    <w:rsid w:val="00712AF6"/>
    <w:rsid w:val="00712CA7"/>
    <w:rsid w:val="00712D9E"/>
    <w:rsid w:val="00712DB1"/>
    <w:rsid w:val="00712F75"/>
    <w:rsid w:val="00712FE5"/>
    <w:rsid w:val="00713111"/>
    <w:rsid w:val="0071317A"/>
    <w:rsid w:val="00713304"/>
    <w:rsid w:val="007139D0"/>
    <w:rsid w:val="00713CDB"/>
    <w:rsid w:val="00713DFC"/>
    <w:rsid w:val="00713EAC"/>
    <w:rsid w:val="00713FE6"/>
    <w:rsid w:val="00714108"/>
    <w:rsid w:val="0071419C"/>
    <w:rsid w:val="0071451E"/>
    <w:rsid w:val="007149C8"/>
    <w:rsid w:val="00714C91"/>
    <w:rsid w:val="00714FD5"/>
    <w:rsid w:val="00715D74"/>
    <w:rsid w:val="007169AD"/>
    <w:rsid w:val="00716ABE"/>
    <w:rsid w:val="007177B7"/>
    <w:rsid w:val="007178AC"/>
    <w:rsid w:val="00717FCA"/>
    <w:rsid w:val="007204B5"/>
    <w:rsid w:val="0072055A"/>
    <w:rsid w:val="00720A35"/>
    <w:rsid w:val="00720AC5"/>
    <w:rsid w:val="00720E01"/>
    <w:rsid w:val="00720F6C"/>
    <w:rsid w:val="007210EB"/>
    <w:rsid w:val="007211E6"/>
    <w:rsid w:val="00721203"/>
    <w:rsid w:val="00721296"/>
    <w:rsid w:val="00721457"/>
    <w:rsid w:val="007219A4"/>
    <w:rsid w:val="00721B07"/>
    <w:rsid w:val="00721F46"/>
    <w:rsid w:val="007223BF"/>
    <w:rsid w:val="0072277D"/>
    <w:rsid w:val="00722993"/>
    <w:rsid w:val="007231B6"/>
    <w:rsid w:val="007234DB"/>
    <w:rsid w:val="007235D6"/>
    <w:rsid w:val="007239A8"/>
    <w:rsid w:val="0072442D"/>
    <w:rsid w:val="00724D06"/>
    <w:rsid w:val="007255FF"/>
    <w:rsid w:val="007258B9"/>
    <w:rsid w:val="00725E42"/>
    <w:rsid w:val="00726051"/>
    <w:rsid w:val="007264E6"/>
    <w:rsid w:val="00726511"/>
    <w:rsid w:val="007266A4"/>
    <w:rsid w:val="00727667"/>
    <w:rsid w:val="007304EE"/>
    <w:rsid w:val="00730727"/>
    <w:rsid w:val="00730800"/>
    <w:rsid w:val="00730A43"/>
    <w:rsid w:val="00730A7B"/>
    <w:rsid w:val="00730DD0"/>
    <w:rsid w:val="007310A7"/>
    <w:rsid w:val="007311DA"/>
    <w:rsid w:val="00731325"/>
    <w:rsid w:val="00732567"/>
    <w:rsid w:val="00732854"/>
    <w:rsid w:val="00733117"/>
    <w:rsid w:val="007335F7"/>
    <w:rsid w:val="00733960"/>
    <w:rsid w:val="00733ABA"/>
    <w:rsid w:val="00733CA4"/>
    <w:rsid w:val="00733D2B"/>
    <w:rsid w:val="007348AC"/>
    <w:rsid w:val="00734928"/>
    <w:rsid w:val="00734C68"/>
    <w:rsid w:val="00734CDC"/>
    <w:rsid w:val="00735361"/>
    <w:rsid w:val="00735C5D"/>
    <w:rsid w:val="0073627C"/>
    <w:rsid w:val="00736A75"/>
    <w:rsid w:val="0073708C"/>
    <w:rsid w:val="007375C9"/>
    <w:rsid w:val="00737738"/>
    <w:rsid w:val="0073774E"/>
    <w:rsid w:val="00737A52"/>
    <w:rsid w:val="00737D2C"/>
    <w:rsid w:val="00737DAF"/>
    <w:rsid w:val="00740081"/>
    <w:rsid w:val="007400A3"/>
    <w:rsid w:val="0074037D"/>
    <w:rsid w:val="0074038D"/>
    <w:rsid w:val="00740691"/>
    <w:rsid w:val="00740BD1"/>
    <w:rsid w:val="00740DF5"/>
    <w:rsid w:val="00740E06"/>
    <w:rsid w:val="00740EB0"/>
    <w:rsid w:val="00741095"/>
    <w:rsid w:val="00741255"/>
    <w:rsid w:val="007414F3"/>
    <w:rsid w:val="007425EB"/>
    <w:rsid w:val="00742792"/>
    <w:rsid w:val="00742CE8"/>
    <w:rsid w:val="00743047"/>
    <w:rsid w:val="007433FA"/>
    <w:rsid w:val="00743FE6"/>
    <w:rsid w:val="007451DD"/>
    <w:rsid w:val="0074533E"/>
    <w:rsid w:val="007453D7"/>
    <w:rsid w:val="00745478"/>
    <w:rsid w:val="00745643"/>
    <w:rsid w:val="0074575D"/>
    <w:rsid w:val="00745FB6"/>
    <w:rsid w:val="007465E2"/>
    <w:rsid w:val="00746C3C"/>
    <w:rsid w:val="00747241"/>
    <w:rsid w:val="007478F5"/>
    <w:rsid w:val="00747DF8"/>
    <w:rsid w:val="00750216"/>
    <w:rsid w:val="00750321"/>
    <w:rsid w:val="007510D3"/>
    <w:rsid w:val="0075139F"/>
    <w:rsid w:val="00751417"/>
    <w:rsid w:val="00751AC4"/>
    <w:rsid w:val="00751B4F"/>
    <w:rsid w:val="00751DC1"/>
    <w:rsid w:val="00752243"/>
    <w:rsid w:val="007524B8"/>
    <w:rsid w:val="00752C8E"/>
    <w:rsid w:val="00752D81"/>
    <w:rsid w:val="00752E3B"/>
    <w:rsid w:val="00754533"/>
    <w:rsid w:val="0075490F"/>
    <w:rsid w:val="00754BC2"/>
    <w:rsid w:val="00754C95"/>
    <w:rsid w:val="007552DF"/>
    <w:rsid w:val="00755A8A"/>
    <w:rsid w:val="00755C22"/>
    <w:rsid w:val="007560EC"/>
    <w:rsid w:val="00756C45"/>
    <w:rsid w:val="00756EFE"/>
    <w:rsid w:val="00757295"/>
    <w:rsid w:val="00757DAC"/>
    <w:rsid w:val="007603E8"/>
    <w:rsid w:val="0076040D"/>
    <w:rsid w:val="007606B1"/>
    <w:rsid w:val="00760818"/>
    <w:rsid w:val="00760BCC"/>
    <w:rsid w:val="00761C3D"/>
    <w:rsid w:val="00762799"/>
    <w:rsid w:val="00762BCA"/>
    <w:rsid w:val="00763123"/>
    <w:rsid w:val="0076316B"/>
    <w:rsid w:val="007632C9"/>
    <w:rsid w:val="00763A7D"/>
    <w:rsid w:val="00764677"/>
    <w:rsid w:val="00764862"/>
    <w:rsid w:val="00764DA4"/>
    <w:rsid w:val="00765283"/>
    <w:rsid w:val="007653A0"/>
    <w:rsid w:val="007656FF"/>
    <w:rsid w:val="007657ED"/>
    <w:rsid w:val="00765BA6"/>
    <w:rsid w:val="00766170"/>
    <w:rsid w:val="007661C9"/>
    <w:rsid w:val="007664A0"/>
    <w:rsid w:val="0076651C"/>
    <w:rsid w:val="00766929"/>
    <w:rsid w:val="007669A5"/>
    <w:rsid w:val="00767C42"/>
    <w:rsid w:val="00767EE0"/>
    <w:rsid w:val="007702E9"/>
    <w:rsid w:val="00770354"/>
    <w:rsid w:val="00770432"/>
    <w:rsid w:val="007705D0"/>
    <w:rsid w:val="00770799"/>
    <w:rsid w:val="00770802"/>
    <w:rsid w:val="007710D1"/>
    <w:rsid w:val="007710DC"/>
    <w:rsid w:val="00771219"/>
    <w:rsid w:val="0077125C"/>
    <w:rsid w:val="00771901"/>
    <w:rsid w:val="00771EAA"/>
    <w:rsid w:val="0077205D"/>
    <w:rsid w:val="00772ADD"/>
    <w:rsid w:val="00772D70"/>
    <w:rsid w:val="00772DEA"/>
    <w:rsid w:val="007737D8"/>
    <w:rsid w:val="00773D88"/>
    <w:rsid w:val="0077409E"/>
    <w:rsid w:val="0077426B"/>
    <w:rsid w:val="0077463D"/>
    <w:rsid w:val="007746E7"/>
    <w:rsid w:val="00774BE9"/>
    <w:rsid w:val="0077505F"/>
    <w:rsid w:val="0077569F"/>
    <w:rsid w:val="007760EB"/>
    <w:rsid w:val="007762F2"/>
    <w:rsid w:val="00776D07"/>
    <w:rsid w:val="0078004E"/>
    <w:rsid w:val="0078039C"/>
    <w:rsid w:val="007809F5"/>
    <w:rsid w:val="00780A6B"/>
    <w:rsid w:val="00780CD9"/>
    <w:rsid w:val="00780D73"/>
    <w:rsid w:val="00780D97"/>
    <w:rsid w:val="00780DAD"/>
    <w:rsid w:val="00781603"/>
    <w:rsid w:val="00781843"/>
    <w:rsid w:val="007825F7"/>
    <w:rsid w:val="00782923"/>
    <w:rsid w:val="00782DA3"/>
    <w:rsid w:val="0078324F"/>
    <w:rsid w:val="00783397"/>
    <w:rsid w:val="0078434C"/>
    <w:rsid w:val="0078460D"/>
    <w:rsid w:val="007848B8"/>
    <w:rsid w:val="0078490C"/>
    <w:rsid w:val="00784A6C"/>
    <w:rsid w:val="007851A7"/>
    <w:rsid w:val="007855B7"/>
    <w:rsid w:val="00785C94"/>
    <w:rsid w:val="007861E9"/>
    <w:rsid w:val="0078624B"/>
    <w:rsid w:val="00786511"/>
    <w:rsid w:val="00786576"/>
    <w:rsid w:val="00786B9E"/>
    <w:rsid w:val="00786C58"/>
    <w:rsid w:val="00786C8D"/>
    <w:rsid w:val="007871F1"/>
    <w:rsid w:val="00787D42"/>
    <w:rsid w:val="00790F12"/>
    <w:rsid w:val="007912A2"/>
    <w:rsid w:val="007917FF"/>
    <w:rsid w:val="007918D3"/>
    <w:rsid w:val="00792035"/>
    <w:rsid w:val="007923FB"/>
    <w:rsid w:val="0079277B"/>
    <w:rsid w:val="00792D04"/>
    <w:rsid w:val="00792E8A"/>
    <w:rsid w:val="007930BC"/>
    <w:rsid w:val="00793728"/>
    <w:rsid w:val="00793B08"/>
    <w:rsid w:val="007943E0"/>
    <w:rsid w:val="00794A6A"/>
    <w:rsid w:val="00794C03"/>
    <w:rsid w:val="00794D71"/>
    <w:rsid w:val="00795452"/>
    <w:rsid w:val="007956E9"/>
    <w:rsid w:val="00795793"/>
    <w:rsid w:val="00795B2B"/>
    <w:rsid w:val="00795B57"/>
    <w:rsid w:val="00795E88"/>
    <w:rsid w:val="00795FE8"/>
    <w:rsid w:val="00796038"/>
    <w:rsid w:val="007960EE"/>
    <w:rsid w:val="0079617D"/>
    <w:rsid w:val="007963DC"/>
    <w:rsid w:val="00796605"/>
    <w:rsid w:val="00796F3B"/>
    <w:rsid w:val="00797010"/>
    <w:rsid w:val="0079731A"/>
    <w:rsid w:val="0079749E"/>
    <w:rsid w:val="00797856"/>
    <w:rsid w:val="007979B4"/>
    <w:rsid w:val="00797D93"/>
    <w:rsid w:val="00797FFA"/>
    <w:rsid w:val="007A0053"/>
    <w:rsid w:val="007A028C"/>
    <w:rsid w:val="007A0C47"/>
    <w:rsid w:val="007A110D"/>
    <w:rsid w:val="007A1192"/>
    <w:rsid w:val="007A1C25"/>
    <w:rsid w:val="007A1E9D"/>
    <w:rsid w:val="007A23B5"/>
    <w:rsid w:val="007A261A"/>
    <w:rsid w:val="007A2CE4"/>
    <w:rsid w:val="007A308F"/>
    <w:rsid w:val="007A32EC"/>
    <w:rsid w:val="007A352D"/>
    <w:rsid w:val="007A3D53"/>
    <w:rsid w:val="007A3DC2"/>
    <w:rsid w:val="007A43F2"/>
    <w:rsid w:val="007A4D5E"/>
    <w:rsid w:val="007A614A"/>
    <w:rsid w:val="007A6BA6"/>
    <w:rsid w:val="007A6D35"/>
    <w:rsid w:val="007A6DCB"/>
    <w:rsid w:val="007A77AE"/>
    <w:rsid w:val="007A7EF1"/>
    <w:rsid w:val="007B14B7"/>
    <w:rsid w:val="007B1AB4"/>
    <w:rsid w:val="007B1B98"/>
    <w:rsid w:val="007B20C0"/>
    <w:rsid w:val="007B25FC"/>
    <w:rsid w:val="007B27C2"/>
    <w:rsid w:val="007B2BFE"/>
    <w:rsid w:val="007B30EC"/>
    <w:rsid w:val="007B3BBF"/>
    <w:rsid w:val="007B3F2B"/>
    <w:rsid w:val="007B4224"/>
    <w:rsid w:val="007B47E0"/>
    <w:rsid w:val="007B4A6A"/>
    <w:rsid w:val="007B4CAB"/>
    <w:rsid w:val="007B4FC7"/>
    <w:rsid w:val="007B502C"/>
    <w:rsid w:val="007B5517"/>
    <w:rsid w:val="007B561B"/>
    <w:rsid w:val="007B57D0"/>
    <w:rsid w:val="007B5934"/>
    <w:rsid w:val="007B5A80"/>
    <w:rsid w:val="007B5BF4"/>
    <w:rsid w:val="007B5DF7"/>
    <w:rsid w:val="007B7011"/>
    <w:rsid w:val="007B750A"/>
    <w:rsid w:val="007B7638"/>
    <w:rsid w:val="007B79BE"/>
    <w:rsid w:val="007B7D2E"/>
    <w:rsid w:val="007C0641"/>
    <w:rsid w:val="007C095F"/>
    <w:rsid w:val="007C0991"/>
    <w:rsid w:val="007C0C9E"/>
    <w:rsid w:val="007C0CB8"/>
    <w:rsid w:val="007C0D9A"/>
    <w:rsid w:val="007C10E1"/>
    <w:rsid w:val="007C130F"/>
    <w:rsid w:val="007C1548"/>
    <w:rsid w:val="007C1A81"/>
    <w:rsid w:val="007C1BC2"/>
    <w:rsid w:val="007C1CCF"/>
    <w:rsid w:val="007C21F9"/>
    <w:rsid w:val="007C2AB2"/>
    <w:rsid w:val="007C2D59"/>
    <w:rsid w:val="007C2FBA"/>
    <w:rsid w:val="007C342C"/>
    <w:rsid w:val="007C35ED"/>
    <w:rsid w:val="007C3812"/>
    <w:rsid w:val="007C44C7"/>
    <w:rsid w:val="007C4799"/>
    <w:rsid w:val="007C4B4C"/>
    <w:rsid w:val="007C4B53"/>
    <w:rsid w:val="007C4F89"/>
    <w:rsid w:val="007C50D0"/>
    <w:rsid w:val="007C5504"/>
    <w:rsid w:val="007C5661"/>
    <w:rsid w:val="007C668B"/>
    <w:rsid w:val="007C6789"/>
    <w:rsid w:val="007C6D1E"/>
    <w:rsid w:val="007C6DC9"/>
    <w:rsid w:val="007C70B7"/>
    <w:rsid w:val="007C7247"/>
    <w:rsid w:val="007C73DB"/>
    <w:rsid w:val="007D0020"/>
    <w:rsid w:val="007D04AC"/>
    <w:rsid w:val="007D050E"/>
    <w:rsid w:val="007D0E52"/>
    <w:rsid w:val="007D0F1C"/>
    <w:rsid w:val="007D11A0"/>
    <w:rsid w:val="007D1951"/>
    <w:rsid w:val="007D1B8A"/>
    <w:rsid w:val="007D2828"/>
    <w:rsid w:val="007D2C09"/>
    <w:rsid w:val="007D2CD3"/>
    <w:rsid w:val="007D2FF6"/>
    <w:rsid w:val="007D37A8"/>
    <w:rsid w:val="007D38BC"/>
    <w:rsid w:val="007D3D71"/>
    <w:rsid w:val="007D3E84"/>
    <w:rsid w:val="007D4847"/>
    <w:rsid w:val="007D4B4A"/>
    <w:rsid w:val="007D4C84"/>
    <w:rsid w:val="007D4CC1"/>
    <w:rsid w:val="007D4FF9"/>
    <w:rsid w:val="007D543B"/>
    <w:rsid w:val="007D554E"/>
    <w:rsid w:val="007D5932"/>
    <w:rsid w:val="007D5A1A"/>
    <w:rsid w:val="007D5DDE"/>
    <w:rsid w:val="007D6446"/>
    <w:rsid w:val="007D6751"/>
    <w:rsid w:val="007D68C4"/>
    <w:rsid w:val="007D6955"/>
    <w:rsid w:val="007D6D0A"/>
    <w:rsid w:val="007D6DF3"/>
    <w:rsid w:val="007D71F5"/>
    <w:rsid w:val="007D7326"/>
    <w:rsid w:val="007D754E"/>
    <w:rsid w:val="007D7F1D"/>
    <w:rsid w:val="007E081A"/>
    <w:rsid w:val="007E08F6"/>
    <w:rsid w:val="007E191F"/>
    <w:rsid w:val="007E1F58"/>
    <w:rsid w:val="007E1FFF"/>
    <w:rsid w:val="007E3353"/>
    <w:rsid w:val="007E4097"/>
    <w:rsid w:val="007E4272"/>
    <w:rsid w:val="007E4790"/>
    <w:rsid w:val="007E4F00"/>
    <w:rsid w:val="007E5020"/>
    <w:rsid w:val="007E58AE"/>
    <w:rsid w:val="007E5EBC"/>
    <w:rsid w:val="007E67DF"/>
    <w:rsid w:val="007E6D7A"/>
    <w:rsid w:val="007E7244"/>
    <w:rsid w:val="007E7465"/>
    <w:rsid w:val="007E7500"/>
    <w:rsid w:val="007E771E"/>
    <w:rsid w:val="007F1091"/>
    <w:rsid w:val="007F157B"/>
    <w:rsid w:val="007F1638"/>
    <w:rsid w:val="007F1908"/>
    <w:rsid w:val="007F1C80"/>
    <w:rsid w:val="007F1DFC"/>
    <w:rsid w:val="007F238B"/>
    <w:rsid w:val="007F2984"/>
    <w:rsid w:val="007F309E"/>
    <w:rsid w:val="007F332C"/>
    <w:rsid w:val="007F3337"/>
    <w:rsid w:val="007F3F89"/>
    <w:rsid w:val="007F59F9"/>
    <w:rsid w:val="007F63F0"/>
    <w:rsid w:val="007F6C96"/>
    <w:rsid w:val="007F70F2"/>
    <w:rsid w:val="007F7305"/>
    <w:rsid w:val="007F7342"/>
    <w:rsid w:val="007F75A4"/>
    <w:rsid w:val="007F79D3"/>
    <w:rsid w:val="007F7C3F"/>
    <w:rsid w:val="0080024A"/>
    <w:rsid w:val="00800367"/>
    <w:rsid w:val="008003F7"/>
    <w:rsid w:val="00800807"/>
    <w:rsid w:val="008009B7"/>
    <w:rsid w:val="00801093"/>
    <w:rsid w:val="00801145"/>
    <w:rsid w:val="00801215"/>
    <w:rsid w:val="00801948"/>
    <w:rsid w:val="00801BDA"/>
    <w:rsid w:val="00801C4C"/>
    <w:rsid w:val="00801F0A"/>
    <w:rsid w:val="00802031"/>
    <w:rsid w:val="008021B5"/>
    <w:rsid w:val="00802578"/>
    <w:rsid w:val="00802A6E"/>
    <w:rsid w:val="00803A7F"/>
    <w:rsid w:val="00803C86"/>
    <w:rsid w:val="00804603"/>
    <w:rsid w:val="00804F09"/>
    <w:rsid w:val="0080542A"/>
    <w:rsid w:val="00805C17"/>
    <w:rsid w:val="00805D0A"/>
    <w:rsid w:val="008062B8"/>
    <w:rsid w:val="00806818"/>
    <w:rsid w:val="00807699"/>
    <w:rsid w:val="008076FE"/>
    <w:rsid w:val="00807A78"/>
    <w:rsid w:val="008104D0"/>
    <w:rsid w:val="00810F00"/>
    <w:rsid w:val="00811490"/>
    <w:rsid w:val="0081181D"/>
    <w:rsid w:val="00811DE6"/>
    <w:rsid w:val="00811DF1"/>
    <w:rsid w:val="00812327"/>
    <w:rsid w:val="0081254A"/>
    <w:rsid w:val="00812D04"/>
    <w:rsid w:val="00813430"/>
    <w:rsid w:val="00813BD1"/>
    <w:rsid w:val="0081463B"/>
    <w:rsid w:val="00814C71"/>
    <w:rsid w:val="008152BA"/>
    <w:rsid w:val="00815333"/>
    <w:rsid w:val="0081543B"/>
    <w:rsid w:val="008156B3"/>
    <w:rsid w:val="008156C8"/>
    <w:rsid w:val="008158AA"/>
    <w:rsid w:val="008159F6"/>
    <w:rsid w:val="008160A3"/>
    <w:rsid w:val="008167C8"/>
    <w:rsid w:val="008168F4"/>
    <w:rsid w:val="00816907"/>
    <w:rsid w:val="00816D8A"/>
    <w:rsid w:val="00817185"/>
    <w:rsid w:val="008174EC"/>
    <w:rsid w:val="00817BC6"/>
    <w:rsid w:val="00817C3E"/>
    <w:rsid w:val="00817C49"/>
    <w:rsid w:val="0082016E"/>
    <w:rsid w:val="008201F7"/>
    <w:rsid w:val="00820412"/>
    <w:rsid w:val="0082053B"/>
    <w:rsid w:val="008205F5"/>
    <w:rsid w:val="00820734"/>
    <w:rsid w:val="00820DBE"/>
    <w:rsid w:val="00821201"/>
    <w:rsid w:val="008216F9"/>
    <w:rsid w:val="008219D3"/>
    <w:rsid w:val="00821B05"/>
    <w:rsid w:val="00822071"/>
    <w:rsid w:val="008221D0"/>
    <w:rsid w:val="0082285F"/>
    <w:rsid w:val="00822BCD"/>
    <w:rsid w:val="00822FB8"/>
    <w:rsid w:val="00823118"/>
    <w:rsid w:val="008231F7"/>
    <w:rsid w:val="0082344E"/>
    <w:rsid w:val="008234D8"/>
    <w:rsid w:val="00823BB2"/>
    <w:rsid w:val="00823CC7"/>
    <w:rsid w:val="00824AA7"/>
    <w:rsid w:val="008254E4"/>
    <w:rsid w:val="00825D0B"/>
    <w:rsid w:val="008261FE"/>
    <w:rsid w:val="00826364"/>
    <w:rsid w:val="00827D0D"/>
    <w:rsid w:val="00827DE1"/>
    <w:rsid w:val="00827F3B"/>
    <w:rsid w:val="008307E5"/>
    <w:rsid w:val="00830AC8"/>
    <w:rsid w:val="00830B1D"/>
    <w:rsid w:val="0083151E"/>
    <w:rsid w:val="00831BB4"/>
    <w:rsid w:val="00831DA2"/>
    <w:rsid w:val="00831E26"/>
    <w:rsid w:val="00831E44"/>
    <w:rsid w:val="008328D0"/>
    <w:rsid w:val="00832A4A"/>
    <w:rsid w:val="00832D0E"/>
    <w:rsid w:val="00832D46"/>
    <w:rsid w:val="008335AF"/>
    <w:rsid w:val="008339CB"/>
    <w:rsid w:val="00833E76"/>
    <w:rsid w:val="008340E1"/>
    <w:rsid w:val="0083434F"/>
    <w:rsid w:val="00834384"/>
    <w:rsid w:val="008361EC"/>
    <w:rsid w:val="008363D3"/>
    <w:rsid w:val="00836587"/>
    <w:rsid w:val="008379A3"/>
    <w:rsid w:val="00837BD7"/>
    <w:rsid w:val="008405AA"/>
    <w:rsid w:val="00840777"/>
    <w:rsid w:val="008409D8"/>
    <w:rsid w:val="00840A2C"/>
    <w:rsid w:val="00840DDE"/>
    <w:rsid w:val="00841E0A"/>
    <w:rsid w:val="00842B5C"/>
    <w:rsid w:val="00842CC9"/>
    <w:rsid w:val="00842D87"/>
    <w:rsid w:val="00843312"/>
    <w:rsid w:val="00843C2B"/>
    <w:rsid w:val="00844B0E"/>
    <w:rsid w:val="0084545E"/>
    <w:rsid w:val="00845892"/>
    <w:rsid w:val="00845D0B"/>
    <w:rsid w:val="00846193"/>
    <w:rsid w:val="008469D1"/>
    <w:rsid w:val="00846C2C"/>
    <w:rsid w:val="00846E27"/>
    <w:rsid w:val="00847202"/>
    <w:rsid w:val="0084758E"/>
    <w:rsid w:val="008476CF"/>
    <w:rsid w:val="00847A13"/>
    <w:rsid w:val="00847B0D"/>
    <w:rsid w:val="008500B6"/>
    <w:rsid w:val="00850B2E"/>
    <w:rsid w:val="0085179F"/>
    <w:rsid w:val="00851A13"/>
    <w:rsid w:val="008520A1"/>
    <w:rsid w:val="008522E2"/>
    <w:rsid w:val="00852651"/>
    <w:rsid w:val="00852B71"/>
    <w:rsid w:val="008535F8"/>
    <w:rsid w:val="00854757"/>
    <w:rsid w:val="00854A77"/>
    <w:rsid w:val="00855893"/>
    <w:rsid w:val="00855B1E"/>
    <w:rsid w:val="008560D6"/>
    <w:rsid w:val="008568CA"/>
    <w:rsid w:val="008569B0"/>
    <w:rsid w:val="008569CE"/>
    <w:rsid w:val="00856BBE"/>
    <w:rsid w:val="00856ECF"/>
    <w:rsid w:val="00857A76"/>
    <w:rsid w:val="0086047A"/>
    <w:rsid w:val="0086060C"/>
    <w:rsid w:val="00860D4C"/>
    <w:rsid w:val="00860E9E"/>
    <w:rsid w:val="00861316"/>
    <w:rsid w:val="00861434"/>
    <w:rsid w:val="008615D5"/>
    <w:rsid w:val="00861667"/>
    <w:rsid w:val="00861671"/>
    <w:rsid w:val="008617CC"/>
    <w:rsid w:val="00861AF0"/>
    <w:rsid w:val="00862522"/>
    <w:rsid w:val="00862B0E"/>
    <w:rsid w:val="00862E43"/>
    <w:rsid w:val="00862FC3"/>
    <w:rsid w:val="0086356C"/>
    <w:rsid w:val="00863659"/>
    <w:rsid w:val="008637CF"/>
    <w:rsid w:val="00863956"/>
    <w:rsid w:val="00864077"/>
    <w:rsid w:val="008641E4"/>
    <w:rsid w:val="00864F0F"/>
    <w:rsid w:val="008651AF"/>
    <w:rsid w:val="0086561D"/>
    <w:rsid w:val="00865840"/>
    <w:rsid w:val="008658D1"/>
    <w:rsid w:val="0086590C"/>
    <w:rsid w:val="00866DB9"/>
    <w:rsid w:val="00866DD7"/>
    <w:rsid w:val="00870360"/>
    <w:rsid w:val="00870664"/>
    <w:rsid w:val="00870A17"/>
    <w:rsid w:val="00870BDE"/>
    <w:rsid w:val="00870E5C"/>
    <w:rsid w:val="00871001"/>
    <w:rsid w:val="008711AE"/>
    <w:rsid w:val="0087128C"/>
    <w:rsid w:val="0087141A"/>
    <w:rsid w:val="008714F5"/>
    <w:rsid w:val="0087173C"/>
    <w:rsid w:val="00871C99"/>
    <w:rsid w:val="00871CED"/>
    <w:rsid w:val="0087202D"/>
    <w:rsid w:val="0087217D"/>
    <w:rsid w:val="00872469"/>
    <w:rsid w:val="0087249D"/>
    <w:rsid w:val="008725C5"/>
    <w:rsid w:val="00872BEE"/>
    <w:rsid w:val="00872E3E"/>
    <w:rsid w:val="008730D7"/>
    <w:rsid w:val="008733D8"/>
    <w:rsid w:val="008735DE"/>
    <w:rsid w:val="008736C4"/>
    <w:rsid w:val="008743A6"/>
    <w:rsid w:val="0087506B"/>
    <w:rsid w:val="008755C7"/>
    <w:rsid w:val="00875845"/>
    <w:rsid w:val="0087599E"/>
    <w:rsid w:val="00876322"/>
    <w:rsid w:val="00876368"/>
    <w:rsid w:val="00876370"/>
    <w:rsid w:val="008763D3"/>
    <w:rsid w:val="0087706D"/>
    <w:rsid w:val="0087747A"/>
    <w:rsid w:val="0087774E"/>
    <w:rsid w:val="00877968"/>
    <w:rsid w:val="00877B5B"/>
    <w:rsid w:val="00877C1A"/>
    <w:rsid w:val="008801CE"/>
    <w:rsid w:val="0088049F"/>
    <w:rsid w:val="00880591"/>
    <w:rsid w:val="008809F6"/>
    <w:rsid w:val="00880AD6"/>
    <w:rsid w:val="00880CB0"/>
    <w:rsid w:val="00880DB5"/>
    <w:rsid w:val="00881223"/>
    <w:rsid w:val="008813E2"/>
    <w:rsid w:val="00881893"/>
    <w:rsid w:val="00881935"/>
    <w:rsid w:val="00881B86"/>
    <w:rsid w:val="00881EDA"/>
    <w:rsid w:val="008821D4"/>
    <w:rsid w:val="00882276"/>
    <w:rsid w:val="00882682"/>
    <w:rsid w:val="0088280D"/>
    <w:rsid w:val="00882B41"/>
    <w:rsid w:val="00882CA5"/>
    <w:rsid w:val="00882ED4"/>
    <w:rsid w:val="00883095"/>
    <w:rsid w:val="00883229"/>
    <w:rsid w:val="00883536"/>
    <w:rsid w:val="0088359B"/>
    <w:rsid w:val="00883760"/>
    <w:rsid w:val="00883AD9"/>
    <w:rsid w:val="00883B95"/>
    <w:rsid w:val="00884A7C"/>
    <w:rsid w:val="00885618"/>
    <w:rsid w:val="00885725"/>
    <w:rsid w:val="00885FD8"/>
    <w:rsid w:val="008863D6"/>
    <w:rsid w:val="00886876"/>
    <w:rsid w:val="00887062"/>
    <w:rsid w:val="008870DA"/>
    <w:rsid w:val="00887434"/>
    <w:rsid w:val="00887E80"/>
    <w:rsid w:val="008900DD"/>
    <w:rsid w:val="008901C3"/>
    <w:rsid w:val="00890D06"/>
    <w:rsid w:val="00890DA0"/>
    <w:rsid w:val="00890DD5"/>
    <w:rsid w:val="00891174"/>
    <w:rsid w:val="0089129C"/>
    <w:rsid w:val="008914B7"/>
    <w:rsid w:val="00891846"/>
    <w:rsid w:val="0089191C"/>
    <w:rsid w:val="00891FAD"/>
    <w:rsid w:val="00892064"/>
    <w:rsid w:val="00892087"/>
    <w:rsid w:val="00892787"/>
    <w:rsid w:val="00892ADB"/>
    <w:rsid w:val="0089342C"/>
    <w:rsid w:val="00893895"/>
    <w:rsid w:val="0089419E"/>
    <w:rsid w:val="0089480C"/>
    <w:rsid w:val="00895184"/>
    <w:rsid w:val="00895317"/>
    <w:rsid w:val="0089538D"/>
    <w:rsid w:val="00895A22"/>
    <w:rsid w:val="008960CF"/>
    <w:rsid w:val="00896751"/>
    <w:rsid w:val="0089699E"/>
    <w:rsid w:val="00896EC1"/>
    <w:rsid w:val="00897196"/>
    <w:rsid w:val="00897245"/>
    <w:rsid w:val="008977EF"/>
    <w:rsid w:val="008977FC"/>
    <w:rsid w:val="008A094A"/>
    <w:rsid w:val="008A09AD"/>
    <w:rsid w:val="008A0D4A"/>
    <w:rsid w:val="008A18ED"/>
    <w:rsid w:val="008A19B6"/>
    <w:rsid w:val="008A1AF6"/>
    <w:rsid w:val="008A1F61"/>
    <w:rsid w:val="008A1FCF"/>
    <w:rsid w:val="008A2089"/>
    <w:rsid w:val="008A24CE"/>
    <w:rsid w:val="008A2819"/>
    <w:rsid w:val="008A30E3"/>
    <w:rsid w:val="008A3332"/>
    <w:rsid w:val="008A38F1"/>
    <w:rsid w:val="008A3BFE"/>
    <w:rsid w:val="008A3E25"/>
    <w:rsid w:val="008A3EE8"/>
    <w:rsid w:val="008A40FA"/>
    <w:rsid w:val="008A4216"/>
    <w:rsid w:val="008A44D9"/>
    <w:rsid w:val="008A4C75"/>
    <w:rsid w:val="008A5050"/>
    <w:rsid w:val="008A507E"/>
    <w:rsid w:val="008A580D"/>
    <w:rsid w:val="008A649B"/>
    <w:rsid w:val="008A6801"/>
    <w:rsid w:val="008A69C6"/>
    <w:rsid w:val="008A7147"/>
    <w:rsid w:val="008A76B5"/>
    <w:rsid w:val="008A776E"/>
    <w:rsid w:val="008A7F1B"/>
    <w:rsid w:val="008B00E2"/>
    <w:rsid w:val="008B0684"/>
    <w:rsid w:val="008B09FF"/>
    <w:rsid w:val="008B0AED"/>
    <w:rsid w:val="008B12CE"/>
    <w:rsid w:val="008B12DE"/>
    <w:rsid w:val="008B1684"/>
    <w:rsid w:val="008B17AA"/>
    <w:rsid w:val="008B17C2"/>
    <w:rsid w:val="008B1C15"/>
    <w:rsid w:val="008B282D"/>
    <w:rsid w:val="008B2AAA"/>
    <w:rsid w:val="008B3367"/>
    <w:rsid w:val="008B3AED"/>
    <w:rsid w:val="008B3D20"/>
    <w:rsid w:val="008B427A"/>
    <w:rsid w:val="008B45BA"/>
    <w:rsid w:val="008B45BD"/>
    <w:rsid w:val="008B4E12"/>
    <w:rsid w:val="008B4E29"/>
    <w:rsid w:val="008B4EA3"/>
    <w:rsid w:val="008B5271"/>
    <w:rsid w:val="008B53C8"/>
    <w:rsid w:val="008B53EC"/>
    <w:rsid w:val="008B5595"/>
    <w:rsid w:val="008B5975"/>
    <w:rsid w:val="008B59BF"/>
    <w:rsid w:val="008B5D63"/>
    <w:rsid w:val="008B60B6"/>
    <w:rsid w:val="008B61FA"/>
    <w:rsid w:val="008B69C0"/>
    <w:rsid w:val="008B6B6D"/>
    <w:rsid w:val="008B6F18"/>
    <w:rsid w:val="008B70DC"/>
    <w:rsid w:val="008B7445"/>
    <w:rsid w:val="008B74EE"/>
    <w:rsid w:val="008B78E8"/>
    <w:rsid w:val="008B7B4A"/>
    <w:rsid w:val="008B7E17"/>
    <w:rsid w:val="008C015B"/>
    <w:rsid w:val="008C0842"/>
    <w:rsid w:val="008C087D"/>
    <w:rsid w:val="008C18EB"/>
    <w:rsid w:val="008C1A45"/>
    <w:rsid w:val="008C1FE4"/>
    <w:rsid w:val="008C1FF8"/>
    <w:rsid w:val="008C2E2B"/>
    <w:rsid w:val="008C3A4B"/>
    <w:rsid w:val="008C3D97"/>
    <w:rsid w:val="008C3E13"/>
    <w:rsid w:val="008C3E14"/>
    <w:rsid w:val="008C4409"/>
    <w:rsid w:val="008C4594"/>
    <w:rsid w:val="008C4837"/>
    <w:rsid w:val="008C4A81"/>
    <w:rsid w:val="008C542F"/>
    <w:rsid w:val="008C5CCB"/>
    <w:rsid w:val="008C6146"/>
    <w:rsid w:val="008C64B2"/>
    <w:rsid w:val="008C6794"/>
    <w:rsid w:val="008C6F1D"/>
    <w:rsid w:val="008C74A9"/>
    <w:rsid w:val="008C7908"/>
    <w:rsid w:val="008D000E"/>
    <w:rsid w:val="008D057D"/>
    <w:rsid w:val="008D069B"/>
    <w:rsid w:val="008D089A"/>
    <w:rsid w:val="008D34A4"/>
    <w:rsid w:val="008D381F"/>
    <w:rsid w:val="008D5043"/>
    <w:rsid w:val="008D527E"/>
    <w:rsid w:val="008D5C7E"/>
    <w:rsid w:val="008D5E75"/>
    <w:rsid w:val="008D613F"/>
    <w:rsid w:val="008D6B86"/>
    <w:rsid w:val="008D6C72"/>
    <w:rsid w:val="008D6CED"/>
    <w:rsid w:val="008D739B"/>
    <w:rsid w:val="008E0A04"/>
    <w:rsid w:val="008E1079"/>
    <w:rsid w:val="008E13E9"/>
    <w:rsid w:val="008E19AD"/>
    <w:rsid w:val="008E1E51"/>
    <w:rsid w:val="008E2D75"/>
    <w:rsid w:val="008E3703"/>
    <w:rsid w:val="008E3EB2"/>
    <w:rsid w:val="008E428D"/>
    <w:rsid w:val="008E4AF6"/>
    <w:rsid w:val="008E5305"/>
    <w:rsid w:val="008E545B"/>
    <w:rsid w:val="008E6670"/>
    <w:rsid w:val="008E7180"/>
    <w:rsid w:val="008E7182"/>
    <w:rsid w:val="008E74C5"/>
    <w:rsid w:val="008E7B2E"/>
    <w:rsid w:val="008E7E82"/>
    <w:rsid w:val="008F0BCA"/>
    <w:rsid w:val="008F2373"/>
    <w:rsid w:val="008F24FF"/>
    <w:rsid w:val="008F27E7"/>
    <w:rsid w:val="008F299F"/>
    <w:rsid w:val="008F2DB7"/>
    <w:rsid w:val="008F2F81"/>
    <w:rsid w:val="008F3000"/>
    <w:rsid w:val="008F3099"/>
    <w:rsid w:val="008F3F24"/>
    <w:rsid w:val="008F4E24"/>
    <w:rsid w:val="008F5407"/>
    <w:rsid w:val="008F62B5"/>
    <w:rsid w:val="008F68A5"/>
    <w:rsid w:val="008F6AD4"/>
    <w:rsid w:val="008F6F2C"/>
    <w:rsid w:val="008F7125"/>
    <w:rsid w:val="008F7289"/>
    <w:rsid w:val="008F7A1B"/>
    <w:rsid w:val="00900984"/>
    <w:rsid w:val="009012DE"/>
    <w:rsid w:val="0090132D"/>
    <w:rsid w:val="00901C7C"/>
    <w:rsid w:val="00901D01"/>
    <w:rsid w:val="00901D0A"/>
    <w:rsid w:val="00901D17"/>
    <w:rsid w:val="009024F0"/>
    <w:rsid w:val="009030D6"/>
    <w:rsid w:val="009033BF"/>
    <w:rsid w:val="009033EA"/>
    <w:rsid w:val="00903638"/>
    <w:rsid w:val="00903DD1"/>
    <w:rsid w:val="009042F3"/>
    <w:rsid w:val="009043F5"/>
    <w:rsid w:val="00904491"/>
    <w:rsid w:val="009045FA"/>
    <w:rsid w:val="009046F2"/>
    <w:rsid w:val="0090472C"/>
    <w:rsid w:val="00904F65"/>
    <w:rsid w:val="009050B6"/>
    <w:rsid w:val="00905374"/>
    <w:rsid w:val="0090539A"/>
    <w:rsid w:val="00905794"/>
    <w:rsid w:val="00905849"/>
    <w:rsid w:val="009058EC"/>
    <w:rsid w:val="00905A96"/>
    <w:rsid w:val="00905FA7"/>
    <w:rsid w:val="00906268"/>
    <w:rsid w:val="0090647D"/>
    <w:rsid w:val="0090671F"/>
    <w:rsid w:val="0090729B"/>
    <w:rsid w:val="009073CA"/>
    <w:rsid w:val="0090746F"/>
    <w:rsid w:val="009074FF"/>
    <w:rsid w:val="00907868"/>
    <w:rsid w:val="009079C0"/>
    <w:rsid w:val="00910C58"/>
    <w:rsid w:val="009110C3"/>
    <w:rsid w:val="00911368"/>
    <w:rsid w:val="009113F2"/>
    <w:rsid w:val="00911454"/>
    <w:rsid w:val="009116F7"/>
    <w:rsid w:val="00911984"/>
    <w:rsid w:val="00911CD2"/>
    <w:rsid w:val="009125E2"/>
    <w:rsid w:val="0091262E"/>
    <w:rsid w:val="00912939"/>
    <w:rsid w:val="009137DE"/>
    <w:rsid w:val="00913DF4"/>
    <w:rsid w:val="00914904"/>
    <w:rsid w:val="00914A9C"/>
    <w:rsid w:val="00914DC6"/>
    <w:rsid w:val="00914E0F"/>
    <w:rsid w:val="0091525B"/>
    <w:rsid w:val="00915284"/>
    <w:rsid w:val="009156B0"/>
    <w:rsid w:val="00915EC7"/>
    <w:rsid w:val="00916287"/>
    <w:rsid w:val="00916382"/>
    <w:rsid w:val="009168EB"/>
    <w:rsid w:val="00916B3F"/>
    <w:rsid w:val="009170E6"/>
    <w:rsid w:val="00920270"/>
    <w:rsid w:val="0092056E"/>
    <w:rsid w:val="0092080B"/>
    <w:rsid w:val="009208B9"/>
    <w:rsid w:val="009209FA"/>
    <w:rsid w:val="009212A9"/>
    <w:rsid w:val="009216B3"/>
    <w:rsid w:val="009218F9"/>
    <w:rsid w:val="00921A62"/>
    <w:rsid w:val="00921C2F"/>
    <w:rsid w:val="00922D6A"/>
    <w:rsid w:val="00922F7A"/>
    <w:rsid w:val="0092331F"/>
    <w:rsid w:val="009236C7"/>
    <w:rsid w:val="00923918"/>
    <w:rsid w:val="0092397C"/>
    <w:rsid w:val="00923D73"/>
    <w:rsid w:val="00923FC2"/>
    <w:rsid w:val="009241A0"/>
    <w:rsid w:val="0092469F"/>
    <w:rsid w:val="00924770"/>
    <w:rsid w:val="0092497A"/>
    <w:rsid w:val="00925131"/>
    <w:rsid w:val="009252B1"/>
    <w:rsid w:val="009256E7"/>
    <w:rsid w:val="00925F37"/>
    <w:rsid w:val="0092623D"/>
    <w:rsid w:val="0092627A"/>
    <w:rsid w:val="009266C4"/>
    <w:rsid w:val="009267FB"/>
    <w:rsid w:val="00926E87"/>
    <w:rsid w:val="00926EA0"/>
    <w:rsid w:val="0092769E"/>
    <w:rsid w:val="00927889"/>
    <w:rsid w:val="00927A96"/>
    <w:rsid w:val="00927DF4"/>
    <w:rsid w:val="00930538"/>
    <w:rsid w:val="00930A27"/>
    <w:rsid w:val="0093125C"/>
    <w:rsid w:val="00931400"/>
    <w:rsid w:val="00931453"/>
    <w:rsid w:val="009316F6"/>
    <w:rsid w:val="0093246A"/>
    <w:rsid w:val="00933017"/>
    <w:rsid w:val="00933187"/>
    <w:rsid w:val="009332D2"/>
    <w:rsid w:val="0093365A"/>
    <w:rsid w:val="00933956"/>
    <w:rsid w:val="00933A91"/>
    <w:rsid w:val="00933B79"/>
    <w:rsid w:val="009351DB"/>
    <w:rsid w:val="00935415"/>
    <w:rsid w:val="00935500"/>
    <w:rsid w:val="009356D7"/>
    <w:rsid w:val="00935B52"/>
    <w:rsid w:val="0093631D"/>
    <w:rsid w:val="009364F5"/>
    <w:rsid w:val="00936EBD"/>
    <w:rsid w:val="00936F77"/>
    <w:rsid w:val="009371AA"/>
    <w:rsid w:val="00937D49"/>
    <w:rsid w:val="009408B2"/>
    <w:rsid w:val="00940C18"/>
    <w:rsid w:val="00940D2C"/>
    <w:rsid w:val="0094110F"/>
    <w:rsid w:val="00941138"/>
    <w:rsid w:val="00941241"/>
    <w:rsid w:val="009412BC"/>
    <w:rsid w:val="0094132E"/>
    <w:rsid w:val="00941798"/>
    <w:rsid w:val="009417C8"/>
    <w:rsid w:val="00941933"/>
    <w:rsid w:val="00942A36"/>
    <w:rsid w:val="00942C43"/>
    <w:rsid w:val="009433D3"/>
    <w:rsid w:val="00943405"/>
    <w:rsid w:val="00943CDF"/>
    <w:rsid w:val="009441BA"/>
    <w:rsid w:val="00944565"/>
    <w:rsid w:val="00944FE8"/>
    <w:rsid w:val="009454AF"/>
    <w:rsid w:val="0094551A"/>
    <w:rsid w:val="009463CA"/>
    <w:rsid w:val="0094648A"/>
    <w:rsid w:val="00946893"/>
    <w:rsid w:val="00946952"/>
    <w:rsid w:val="00946AA3"/>
    <w:rsid w:val="00946BF8"/>
    <w:rsid w:val="00946F1D"/>
    <w:rsid w:val="00947650"/>
    <w:rsid w:val="009477B5"/>
    <w:rsid w:val="009478CE"/>
    <w:rsid w:val="0094797B"/>
    <w:rsid w:val="00950076"/>
    <w:rsid w:val="0095013C"/>
    <w:rsid w:val="00950641"/>
    <w:rsid w:val="009506E1"/>
    <w:rsid w:val="00951AFB"/>
    <w:rsid w:val="0095217F"/>
    <w:rsid w:val="0095312F"/>
    <w:rsid w:val="00953229"/>
    <w:rsid w:val="00953479"/>
    <w:rsid w:val="0095415A"/>
    <w:rsid w:val="009542D6"/>
    <w:rsid w:val="00954C2A"/>
    <w:rsid w:val="0095502A"/>
    <w:rsid w:val="00955A50"/>
    <w:rsid w:val="00955B82"/>
    <w:rsid w:val="00955D08"/>
    <w:rsid w:val="00955F53"/>
    <w:rsid w:val="009563B8"/>
    <w:rsid w:val="009564D9"/>
    <w:rsid w:val="00956A99"/>
    <w:rsid w:val="00956B8E"/>
    <w:rsid w:val="0095755B"/>
    <w:rsid w:val="0095792D"/>
    <w:rsid w:val="00957B83"/>
    <w:rsid w:val="00957F70"/>
    <w:rsid w:val="00957FBE"/>
    <w:rsid w:val="00960065"/>
    <w:rsid w:val="009614AC"/>
    <w:rsid w:val="0096155F"/>
    <w:rsid w:val="00961560"/>
    <w:rsid w:val="00962667"/>
    <w:rsid w:val="0096334F"/>
    <w:rsid w:val="0096410A"/>
    <w:rsid w:val="00964E97"/>
    <w:rsid w:val="00964F70"/>
    <w:rsid w:val="009650BD"/>
    <w:rsid w:val="0096548B"/>
    <w:rsid w:val="00966570"/>
    <w:rsid w:val="0096695F"/>
    <w:rsid w:val="00966CE3"/>
    <w:rsid w:val="00967209"/>
    <w:rsid w:val="00967245"/>
    <w:rsid w:val="009673AC"/>
    <w:rsid w:val="0097006E"/>
    <w:rsid w:val="0097018C"/>
    <w:rsid w:val="0097025A"/>
    <w:rsid w:val="00970419"/>
    <w:rsid w:val="0097042E"/>
    <w:rsid w:val="0097096C"/>
    <w:rsid w:val="009709E8"/>
    <w:rsid w:val="00970ACB"/>
    <w:rsid w:val="0097146C"/>
    <w:rsid w:val="009715F7"/>
    <w:rsid w:val="009718D2"/>
    <w:rsid w:val="00971BCF"/>
    <w:rsid w:val="00971D17"/>
    <w:rsid w:val="00971FBB"/>
    <w:rsid w:val="009723C1"/>
    <w:rsid w:val="009732A6"/>
    <w:rsid w:val="0097335A"/>
    <w:rsid w:val="00973618"/>
    <w:rsid w:val="009741ED"/>
    <w:rsid w:val="009743A6"/>
    <w:rsid w:val="00974A00"/>
    <w:rsid w:val="00974EDD"/>
    <w:rsid w:val="00975245"/>
    <w:rsid w:val="00975864"/>
    <w:rsid w:val="00975A8A"/>
    <w:rsid w:val="00975B41"/>
    <w:rsid w:val="009762EF"/>
    <w:rsid w:val="00976696"/>
    <w:rsid w:val="0097697E"/>
    <w:rsid w:val="009769B8"/>
    <w:rsid w:val="00977313"/>
    <w:rsid w:val="00977494"/>
    <w:rsid w:val="00977561"/>
    <w:rsid w:val="0097765B"/>
    <w:rsid w:val="009776B9"/>
    <w:rsid w:val="00977780"/>
    <w:rsid w:val="009777F8"/>
    <w:rsid w:val="00977F05"/>
    <w:rsid w:val="009806AE"/>
    <w:rsid w:val="00980A76"/>
    <w:rsid w:val="00980DA7"/>
    <w:rsid w:val="00980F35"/>
    <w:rsid w:val="00981480"/>
    <w:rsid w:val="009815FB"/>
    <w:rsid w:val="0098249D"/>
    <w:rsid w:val="0098265B"/>
    <w:rsid w:val="00982A4A"/>
    <w:rsid w:val="00983A05"/>
    <w:rsid w:val="00983D6C"/>
    <w:rsid w:val="00983F9B"/>
    <w:rsid w:val="0098476D"/>
    <w:rsid w:val="00984959"/>
    <w:rsid w:val="009854C1"/>
    <w:rsid w:val="0098558E"/>
    <w:rsid w:val="009856FE"/>
    <w:rsid w:val="00985B74"/>
    <w:rsid w:val="00985E1A"/>
    <w:rsid w:val="0098601F"/>
    <w:rsid w:val="00986C9B"/>
    <w:rsid w:val="00986EC7"/>
    <w:rsid w:val="00986FED"/>
    <w:rsid w:val="009873AE"/>
    <w:rsid w:val="0098765D"/>
    <w:rsid w:val="009876A9"/>
    <w:rsid w:val="00987876"/>
    <w:rsid w:val="00987A2E"/>
    <w:rsid w:val="009908BD"/>
    <w:rsid w:val="00991409"/>
    <w:rsid w:val="00992323"/>
    <w:rsid w:val="00992515"/>
    <w:rsid w:val="00992A41"/>
    <w:rsid w:val="00993796"/>
    <w:rsid w:val="00993B36"/>
    <w:rsid w:val="00994185"/>
    <w:rsid w:val="009945DE"/>
    <w:rsid w:val="009945ED"/>
    <w:rsid w:val="00994906"/>
    <w:rsid w:val="0099490D"/>
    <w:rsid w:val="00994B25"/>
    <w:rsid w:val="00995084"/>
    <w:rsid w:val="00995462"/>
    <w:rsid w:val="009954B4"/>
    <w:rsid w:val="00995682"/>
    <w:rsid w:val="009956C6"/>
    <w:rsid w:val="0099622C"/>
    <w:rsid w:val="00996472"/>
    <w:rsid w:val="00996741"/>
    <w:rsid w:val="00996B53"/>
    <w:rsid w:val="0099759C"/>
    <w:rsid w:val="009976B1"/>
    <w:rsid w:val="009A05A6"/>
    <w:rsid w:val="009A05B1"/>
    <w:rsid w:val="009A1364"/>
    <w:rsid w:val="009A136F"/>
    <w:rsid w:val="009A1E45"/>
    <w:rsid w:val="009A1FAA"/>
    <w:rsid w:val="009A274F"/>
    <w:rsid w:val="009A2887"/>
    <w:rsid w:val="009A38F4"/>
    <w:rsid w:val="009A4790"/>
    <w:rsid w:val="009A4952"/>
    <w:rsid w:val="009A4D31"/>
    <w:rsid w:val="009A4D9F"/>
    <w:rsid w:val="009A4EF5"/>
    <w:rsid w:val="009A51F6"/>
    <w:rsid w:val="009A5578"/>
    <w:rsid w:val="009A5C30"/>
    <w:rsid w:val="009A5DD0"/>
    <w:rsid w:val="009A5E81"/>
    <w:rsid w:val="009A5F5F"/>
    <w:rsid w:val="009A6246"/>
    <w:rsid w:val="009A663A"/>
    <w:rsid w:val="009A68F8"/>
    <w:rsid w:val="009A6B5D"/>
    <w:rsid w:val="009A6C44"/>
    <w:rsid w:val="009A70BF"/>
    <w:rsid w:val="009A7A9F"/>
    <w:rsid w:val="009A7D16"/>
    <w:rsid w:val="009A7FFD"/>
    <w:rsid w:val="009B02DE"/>
    <w:rsid w:val="009B0AB7"/>
    <w:rsid w:val="009B0D90"/>
    <w:rsid w:val="009B1004"/>
    <w:rsid w:val="009B1058"/>
    <w:rsid w:val="009B1777"/>
    <w:rsid w:val="009B1867"/>
    <w:rsid w:val="009B1B2D"/>
    <w:rsid w:val="009B262F"/>
    <w:rsid w:val="009B2711"/>
    <w:rsid w:val="009B2801"/>
    <w:rsid w:val="009B29BB"/>
    <w:rsid w:val="009B2B73"/>
    <w:rsid w:val="009B30EB"/>
    <w:rsid w:val="009B34EB"/>
    <w:rsid w:val="009B357F"/>
    <w:rsid w:val="009B3C20"/>
    <w:rsid w:val="009B4614"/>
    <w:rsid w:val="009B4854"/>
    <w:rsid w:val="009B4CC5"/>
    <w:rsid w:val="009B4DF0"/>
    <w:rsid w:val="009B4EE2"/>
    <w:rsid w:val="009B4F5F"/>
    <w:rsid w:val="009B516C"/>
    <w:rsid w:val="009B521C"/>
    <w:rsid w:val="009B56D6"/>
    <w:rsid w:val="009B5BA4"/>
    <w:rsid w:val="009B5F77"/>
    <w:rsid w:val="009B6082"/>
    <w:rsid w:val="009B670C"/>
    <w:rsid w:val="009B677A"/>
    <w:rsid w:val="009B679B"/>
    <w:rsid w:val="009B6DA9"/>
    <w:rsid w:val="009B77DA"/>
    <w:rsid w:val="009B77F1"/>
    <w:rsid w:val="009B790A"/>
    <w:rsid w:val="009B7EEB"/>
    <w:rsid w:val="009C0264"/>
    <w:rsid w:val="009C03F5"/>
    <w:rsid w:val="009C08A3"/>
    <w:rsid w:val="009C10FC"/>
    <w:rsid w:val="009C1DB0"/>
    <w:rsid w:val="009C1DD9"/>
    <w:rsid w:val="009C2B6E"/>
    <w:rsid w:val="009C2C50"/>
    <w:rsid w:val="009C3058"/>
    <w:rsid w:val="009C30DE"/>
    <w:rsid w:val="009C4229"/>
    <w:rsid w:val="009C568C"/>
    <w:rsid w:val="009C5835"/>
    <w:rsid w:val="009C63C7"/>
    <w:rsid w:val="009C66AC"/>
    <w:rsid w:val="009C7490"/>
    <w:rsid w:val="009C7C2F"/>
    <w:rsid w:val="009C7C36"/>
    <w:rsid w:val="009D0247"/>
    <w:rsid w:val="009D0C94"/>
    <w:rsid w:val="009D114E"/>
    <w:rsid w:val="009D14B5"/>
    <w:rsid w:val="009D1D0D"/>
    <w:rsid w:val="009D1D16"/>
    <w:rsid w:val="009D2320"/>
    <w:rsid w:val="009D2354"/>
    <w:rsid w:val="009D26BD"/>
    <w:rsid w:val="009D2B1D"/>
    <w:rsid w:val="009D3684"/>
    <w:rsid w:val="009D3B65"/>
    <w:rsid w:val="009D40B6"/>
    <w:rsid w:val="009D469C"/>
    <w:rsid w:val="009D4FC1"/>
    <w:rsid w:val="009D5E6E"/>
    <w:rsid w:val="009D5F6C"/>
    <w:rsid w:val="009D6244"/>
    <w:rsid w:val="009D67C2"/>
    <w:rsid w:val="009D6F06"/>
    <w:rsid w:val="009D70CF"/>
    <w:rsid w:val="009D7323"/>
    <w:rsid w:val="009D7407"/>
    <w:rsid w:val="009D7C9C"/>
    <w:rsid w:val="009D7F3A"/>
    <w:rsid w:val="009E0C84"/>
    <w:rsid w:val="009E1923"/>
    <w:rsid w:val="009E1AAC"/>
    <w:rsid w:val="009E1D8E"/>
    <w:rsid w:val="009E2045"/>
    <w:rsid w:val="009E218F"/>
    <w:rsid w:val="009E22C4"/>
    <w:rsid w:val="009E22FB"/>
    <w:rsid w:val="009E2435"/>
    <w:rsid w:val="009E2D13"/>
    <w:rsid w:val="009E2D6C"/>
    <w:rsid w:val="009E3199"/>
    <w:rsid w:val="009E3244"/>
    <w:rsid w:val="009E40FC"/>
    <w:rsid w:val="009E43BD"/>
    <w:rsid w:val="009E4B5E"/>
    <w:rsid w:val="009E4EE1"/>
    <w:rsid w:val="009E5113"/>
    <w:rsid w:val="009E52B3"/>
    <w:rsid w:val="009E5365"/>
    <w:rsid w:val="009E5BFD"/>
    <w:rsid w:val="009E5EDC"/>
    <w:rsid w:val="009E6372"/>
    <w:rsid w:val="009E6976"/>
    <w:rsid w:val="009E74EA"/>
    <w:rsid w:val="009E77E8"/>
    <w:rsid w:val="009F0269"/>
    <w:rsid w:val="009F1750"/>
    <w:rsid w:val="009F186B"/>
    <w:rsid w:val="009F1A22"/>
    <w:rsid w:val="009F2185"/>
    <w:rsid w:val="009F3398"/>
    <w:rsid w:val="009F36D8"/>
    <w:rsid w:val="009F3775"/>
    <w:rsid w:val="009F3E84"/>
    <w:rsid w:val="009F3F91"/>
    <w:rsid w:val="009F46E9"/>
    <w:rsid w:val="009F496A"/>
    <w:rsid w:val="009F4D3A"/>
    <w:rsid w:val="009F4F79"/>
    <w:rsid w:val="009F542B"/>
    <w:rsid w:val="009F5F0C"/>
    <w:rsid w:val="009F66CB"/>
    <w:rsid w:val="009F6727"/>
    <w:rsid w:val="009F6755"/>
    <w:rsid w:val="009F6D96"/>
    <w:rsid w:val="009F77D7"/>
    <w:rsid w:val="00A00121"/>
    <w:rsid w:val="00A002A9"/>
    <w:rsid w:val="00A0033B"/>
    <w:rsid w:val="00A00415"/>
    <w:rsid w:val="00A004C3"/>
    <w:rsid w:val="00A0052C"/>
    <w:rsid w:val="00A00821"/>
    <w:rsid w:val="00A00CAD"/>
    <w:rsid w:val="00A00CEF"/>
    <w:rsid w:val="00A010F2"/>
    <w:rsid w:val="00A0117C"/>
    <w:rsid w:val="00A013E5"/>
    <w:rsid w:val="00A014F1"/>
    <w:rsid w:val="00A0150A"/>
    <w:rsid w:val="00A015DC"/>
    <w:rsid w:val="00A0187A"/>
    <w:rsid w:val="00A018C7"/>
    <w:rsid w:val="00A018D5"/>
    <w:rsid w:val="00A01EC8"/>
    <w:rsid w:val="00A01F16"/>
    <w:rsid w:val="00A02288"/>
    <w:rsid w:val="00A02879"/>
    <w:rsid w:val="00A02C5A"/>
    <w:rsid w:val="00A0383A"/>
    <w:rsid w:val="00A038B8"/>
    <w:rsid w:val="00A04239"/>
    <w:rsid w:val="00A042EC"/>
    <w:rsid w:val="00A045C2"/>
    <w:rsid w:val="00A04697"/>
    <w:rsid w:val="00A0469C"/>
    <w:rsid w:val="00A046C7"/>
    <w:rsid w:val="00A04C43"/>
    <w:rsid w:val="00A04E08"/>
    <w:rsid w:val="00A055D5"/>
    <w:rsid w:val="00A05C58"/>
    <w:rsid w:val="00A06031"/>
    <w:rsid w:val="00A06446"/>
    <w:rsid w:val="00A0689A"/>
    <w:rsid w:val="00A06B2F"/>
    <w:rsid w:val="00A06F47"/>
    <w:rsid w:val="00A06FCD"/>
    <w:rsid w:val="00A072EE"/>
    <w:rsid w:val="00A0740D"/>
    <w:rsid w:val="00A0774C"/>
    <w:rsid w:val="00A07DF6"/>
    <w:rsid w:val="00A10292"/>
    <w:rsid w:val="00A102DE"/>
    <w:rsid w:val="00A10304"/>
    <w:rsid w:val="00A10C9A"/>
    <w:rsid w:val="00A1127F"/>
    <w:rsid w:val="00A1150A"/>
    <w:rsid w:val="00A1169E"/>
    <w:rsid w:val="00A121F1"/>
    <w:rsid w:val="00A12ACF"/>
    <w:rsid w:val="00A12FCF"/>
    <w:rsid w:val="00A1317F"/>
    <w:rsid w:val="00A13191"/>
    <w:rsid w:val="00A13E3A"/>
    <w:rsid w:val="00A151F0"/>
    <w:rsid w:val="00A15276"/>
    <w:rsid w:val="00A156A9"/>
    <w:rsid w:val="00A162D5"/>
    <w:rsid w:val="00A16331"/>
    <w:rsid w:val="00A16436"/>
    <w:rsid w:val="00A1650E"/>
    <w:rsid w:val="00A16516"/>
    <w:rsid w:val="00A16E06"/>
    <w:rsid w:val="00A17B5C"/>
    <w:rsid w:val="00A17BF0"/>
    <w:rsid w:val="00A17F14"/>
    <w:rsid w:val="00A20877"/>
    <w:rsid w:val="00A20C9F"/>
    <w:rsid w:val="00A21003"/>
    <w:rsid w:val="00A212EA"/>
    <w:rsid w:val="00A212F6"/>
    <w:rsid w:val="00A21376"/>
    <w:rsid w:val="00A21990"/>
    <w:rsid w:val="00A219E5"/>
    <w:rsid w:val="00A22004"/>
    <w:rsid w:val="00A227D7"/>
    <w:rsid w:val="00A22973"/>
    <w:rsid w:val="00A22AF6"/>
    <w:rsid w:val="00A22D7E"/>
    <w:rsid w:val="00A22DC6"/>
    <w:rsid w:val="00A236BB"/>
    <w:rsid w:val="00A236BD"/>
    <w:rsid w:val="00A2374B"/>
    <w:rsid w:val="00A23D7D"/>
    <w:rsid w:val="00A23ED9"/>
    <w:rsid w:val="00A23FF5"/>
    <w:rsid w:val="00A24001"/>
    <w:rsid w:val="00A2536F"/>
    <w:rsid w:val="00A256E0"/>
    <w:rsid w:val="00A2586C"/>
    <w:rsid w:val="00A2597D"/>
    <w:rsid w:val="00A25A8A"/>
    <w:rsid w:val="00A25BDB"/>
    <w:rsid w:val="00A26236"/>
    <w:rsid w:val="00A26F19"/>
    <w:rsid w:val="00A26F49"/>
    <w:rsid w:val="00A27348"/>
    <w:rsid w:val="00A27404"/>
    <w:rsid w:val="00A3012C"/>
    <w:rsid w:val="00A30628"/>
    <w:rsid w:val="00A3066E"/>
    <w:rsid w:val="00A30ED7"/>
    <w:rsid w:val="00A319AE"/>
    <w:rsid w:val="00A31A99"/>
    <w:rsid w:val="00A31EF2"/>
    <w:rsid w:val="00A320A0"/>
    <w:rsid w:val="00A32819"/>
    <w:rsid w:val="00A32ADD"/>
    <w:rsid w:val="00A32FCF"/>
    <w:rsid w:val="00A334DC"/>
    <w:rsid w:val="00A33602"/>
    <w:rsid w:val="00A33773"/>
    <w:rsid w:val="00A33C61"/>
    <w:rsid w:val="00A33D9B"/>
    <w:rsid w:val="00A3447B"/>
    <w:rsid w:val="00A34B3E"/>
    <w:rsid w:val="00A34FD6"/>
    <w:rsid w:val="00A35A96"/>
    <w:rsid w:val="00A35B30"/>
    <w:rsid w:val="00A35C0F"/>
    <w:rsid w:val="00A35C8D"/>
    <w:rsid w:val="00A35FCB"/>
    <w:rsid w:val="00A3655C"/>
    <w:rsid w:val="00A368BD"/>
    <w:rsid w:val="00A36E45"/>
    <w:rsid w:val="00A372D0"/>
    <w:rsid w:val="00A376F7"/>
    <w:rsid w:val="00A40305"/>
    <w:rsid w:val="00A4041F"/>
    <w:rsid w:val="00A40A6B"/>
    <w:rsid w:val="00A40B93"/>
    <w:rsid w:val="00A40EA2"/>
    <w:rsid w:val="00A40F56"/>
    <w:rsid w:val="00A41198"/>
    <w:rsid w:val="00A41924"/>
    <w:rsid w:val="00A41953"/>
    <w:rsid w:val="00A41C4F"/>
    <w:rsid w:val="00A41D4A"/>
    <w:rsid w:val="00A42055"/>
    <w:rsid w:val="00A4272A"/>
    <w:rsid w:val="00A42A36"/>
    <w:rsid w:val="00A42C20"/>
    <w:rsid w:val="00A42D40"/>
    <w:rsid w:val="00A43EC7"/>
    <w:rsid w:val="00A43F06"/>
    <w:rsid w:val="00A44098"/>
    <w:rsid w:val="00A444E2"/>
    <w:rsid w:val="00A44835"/>
    <w:rsid w:val="00A4586A"/>
    <w:rsid w:val="00A459CC"/>
    <w:rsid w:val="00A45AB8"/>
    <w:rsid w:val="00A45C87"/>
    <w:rsid w:val="00A45D4F"/>
    <w:rsid w:val="00A45E0F"/>
    <w:rsid w:val="00A462AF"/>
    <w:rsid w:val="00A469B8"/>
    <w:rsid w:val="00A46FF8"/>
    <w:rsid w:val="00A478F1"/>
    <w:rsid w:val="00A47905"/>
    <w:rsid w:val="00A5015F"/>
    <w:rsid w:val="00A501E0"/>
    <w:rsid w:val="00A507EF"/>
    <w:rsid w:val="00A50879"/>
    <w:rsid w:val="00A50A16"/>
    <w:rsid w:val="00A50EDE"/>
    <w:rsid w:val="00A519FF"/>
    <w:rsid w:val="00A51A59"/>
    <w:rsid w:val="00A51CB7"/>
    <w:rsid w:val="00A51FFD"/>
    <w:rsid w:val="00A52542"/>
    <w:rsid w:val="00A525BB"/>
    <w:rsid w:val="00A52954"/>
    <w:rsid w:val="00A52D9D"/>
    <w:rsid w:val="00A52E6F"/>
    <w:rsid w:val="00A53D44"/>
    <w:rsid w:val="00A53F19"/>
    <w:rsid w:val="00A54020"/>
    <w:rsid w:val="00A54356"/>
    <w:rsid w:val="00A54684"/>
    <w:rsid w:val="00A555C9"/>
    <w:rsid w:val="00A55784"/>
    <w:rsid w:val="00A562CB"/>
    <w:rsid w:val="00A567F3"/>
    <w:rsid w:val="00A56F6E"/>
    <w:rsid w:val="00A5714C"/>
    <w:rsid w:val="00A57155"/>
    <w:rsid w:val="00A5776B"/>
    <w:rsid w:val="00A57FC2"/>
    <w:rsid w:val="00A60A10"/>
    <w:rsid w:val="00A61554"/>
    <w:rsid w:val="00A622F5"/>
    <w:rsid w:val="00A624A9"/>
    <w:rsid w:val="00A627A0"/>
    <w:rsid w:val="00A6393F"/>
    <w:rsid w:val="00A63B02"/>
    <w:rsid w:val="00A63CCF"/>
    <w:rsid w:val="00A63E5C"/>
    <w:rsid w:val="00A64700"/>
    <w:rsid w:val="00A64E4B"/>
    <w:rsid w:val="00A65041"/>
    <w:rsid w:val="00A65413"/>
    <w:rsid w:val="00A65EA5"/>
    <w:rsid w:val="00A66287"/>
    <w:rsid w:val="00A66AA5"/>
    <w:rsid w:val="00A66ADA"/>
    <w:rsid w:val="00A66C74"/>
    <w:rsid w:val="00A678F0"/>
    <w:rsid w:val="00A67C38"/>
    <w:rsid w:val="00A67CAF"/>
    <w:rsid w:val="00A67E74"/>
    <w:rsid w:val="00A70475"/>
    <w:rsid w:val="00A70A75"/>
    <w:rsid w:val="00A70C63"/>
    <w:rsid w:val="00A71195"/>
    <w:rsid w:val="00A713CA"/>
    <w:rsid w:val="00A71707"/>
    <w:rsid w:val="00A71824"/>
    <w:rsid w:val="00A71A92"/>
    <w:rsid w:val="00A71AB1"/>
    <w:rsid w:val="00A72338"/>
    <w:rsid w:val="00A72B44"/>
    <w:rsid w:val="00A7302A"/>
    <w:rsid w:val="00A7323E"/>
    <w:rsid w:val="00A73737"/>
    <w:rsid w:val="00A7440F"/>
    <w:rsid w:val="00A744CA"/>
    <w:rsid w:val="00A74913"/>
    <w:rsid w:val="00A76148"/>
    <w:rsid w:val="00A763F2"/>
    <w:rsid w:val="00A7644C"/>
    <w:rsid w:val="00A764CF"/>
    <w:rsid w:val="00A766DB"/>
    <w:rsid w:val="00A76E3F"/>
    <w:rsid w:val="00A77514"/>
    <w:rsid w:val="00A779B2"/>
    <w:rsid w:val="00A80809"/>
    <w:rsid w:val="00A80D5C"/>
    <w:rsid w:val="00A8182E"/>
    <w:rsid w:val="00A8216F"/>
    <w:rsid w:val="00A82A44"/>
    <w:rsid w:val="00A82AD9"/>
    <w:rsid w:val="00A82B3D"/>
    <w:rsid w:val="00A82F0E"/>
    <w:rsid w:val="00A839DD"/>
    <w:rsid w:val="00A83AA8"/>
    <w:rsid w:val="00A83E5F"/>
    <w:rsid w:val="00A83E7B"/>
    <w:rsid w:val="00A83E93"/>
    <w:rsid w:val="00A846F4"/>
    <w:rsid w:val="00A84B30"/>
    <w:rsid w:val="00A855A7"/>
    <w:rsid w:val="00A855EE"/>
    <w:rsid w:val="00A85642"/>
    <w:rsid w:val="00A866A9"/>
    <w:rsid w:val="00A86E61"/>
    <w:rsid w:val="00A86F88"/>
    <w:rsid w:val="00A86FA1"/>
    <w:rsid w:val="00A87034"/>
    <w:rsid w:val="00A870C1"/>
    <w:rsid w:val="00A87E0A"/>
    <w:rsid w:val="00A909C7"/>
    <w:rsid w:val="00A90B72"/>
    <w:rsid w:val="00A922FC"/>
    <w:rsid w:val="00A92999"/>
    <w:rsid w:val="00A92D1E"/>
    <w:rsid w:val="00A93108"/>
    <w:rsid w:val="00A9318E"/>
    <w:rsid w:val="00A932A4"/>
    <w:rsid w:val="00A93683"/>
    <w:rsid w:val="00A94408"/>
    <w:rsid w:val="00A9464A"/>
    <w:rsid w:val="00A948AC"/>
    <w:rsid w:val="00A949D7"/>
    <w:rsid w:val="00A94F9E"/>
    <w:rsid w:val="00A9518B"/>
    <w:rsid w:val="00A95238"/>
    <w:rsid w:val="00A953DE"/>
    <w:rsid w:val="00A9540D"/>
    <w:rsid w:val="00A955C4"/>
    <w:rsid w:val="00A9575E"/>
    <w:rsid w:val="00A95F3F"/>
    <w:rsid w:val="00A963E1"/>
    <w:rsid w:val="00A96502"/>
    <w:rsid w:val="00A965EF"/>
    <w:rsid w:val="00A969DB"/>
    <w:rsid w:val="00A9744C"/>
    <w:rsid w:val="00A974E6"/>
    <w:rsid w:val="00AA0016"/>
    <w:rsid w:val="00AA07AD"/>
    <w:rsid w:val="00AA094B"/>
    <w:rsid w:val="00AA097F"/>
    <w:rsid w:val="00AA0D5C"/>
    <w:rsid w:val="00AA0DDC"/>
    <w:rsid w:val="00AA13F6"/>
    <w:rsid w:val="00AA1473"/>
    <w:rsid w:val="00AA177F"/>
    <w:rsid w:val="00AA1850"/>
    <w:rsid w:val="00AA20D6"/>
    <w:rsid w:val="00AA28E8"/>
    <w:rsid w:val="00AA3823"/>
    <w:rsid w:val="00AA3D7E"/>
    <w:rsid w:val="00AA3F5E"/>
    <w:rsid w:val="00AA4947"/>
    <w:rsid w:val="00AA5ABF"/>
    <w:rsid w:val="00AA6374"/>
    <w:rsid w:val="00AA666A"/>
    <w:rsid w:val="00AA6787"/>
    <w:rsid w:val="00AA6C51"/>
    <w:rsid w:val="00AA71EC"/>
    <w:rsid w:val="00AA7B6E"/>
    <w:rsid w:val="00AB00A3"/>
    <w:rsid w:val="00AB0280"/>
    <w:rsid w:val="00AB0407"/>
    <w:rsid w:val="00AB04D7"/>
    <w:rsid w:val="00AB077D"/>
    <w:rsid w:val="00AB0876"/>
    <w:rsid w:val="00AB0E74"/>
    <w:rsid w:val="00AB112E"/>
    <w:rsid w:val="00AB1351"/>
    <w:rsid w:val="00AB1383"/>
    <w:rsid w:val="00AB156B"/>
    <w:rsid w:val="00AB1599"/>
    <w:rsid w:val="00AB171A"/>
    <w:rsid w:val="00AB1CE4"/>
    <w:rsid w:val="00AB1F8C"/>
    <w:rsid w:val="00AB206D"/>
    <w:rsid w:val="00AB28C2"/>
    <w:rsid w:val="00AB2FCA"/>
    <w:rsid w:val="00AB301A"/>
    <w:rsid w:val="00AB32AC"/>
    <w:rsid w:val="00AB3984"/>
    <w:rsid w:val="00AB39B7"/>
    <w:rsid w:val="00AB3BF7"/>
    <w:rsid w:val="00AB4860"/>
    <w:rsid w:val="00AB4D75"/>
    <w:rsid w:val="00AB4DDF"/>
    <w:rsid w:val="00AB5829"/>
    <w:rsid w:val="00AB6029"/>
    <w:rsid w:val="00AB612D"/>
    <w:rsid w:val="00AB6BDC"/>
    <w:rsid w:val="00AB74BA"/>
    <w:rsid w:val="00AB78B4"/>
    <w:rsid w:val="00AB7FC5"/>
    <w:rsid w:val="00AB7FD5"/>
    <w:rsid w:val="00AC07E6"/>
    <w:rsid w:val="00AC13F1"/>
    <w:rsid w:val="00AC14D0"/>
    <w:rsid w:val="00AC1563"/>
    <w:rsid w:val="00AC157A"/>
    <w:rsid w:val="00AC1E0C"/>
    <w:rsid w:val="00AC2C97"/>
    <w:rsid w:val="00AC39DC"/>
    <w:rsid w:val="00AC3FA3"/>
    <w:rsid w:val="00AC4377"/>
    <w:rsid w:val="00AC4425"/>
    <w:rsid w:val="00AC4C3A"/>
    <w:rsid w:val="00AC4E8F"/>
    <w:rsid w:val="00AC50DC"/>
    <w:rsid w:val="00AC6624"/>
    <w:rsid w:val="00AC66F1"/>
    <w:rsid w:val="00AC6D6F"/>
    <w:rsid w:val="00AC761D"/>
    <w:rsid w:val="00AD004F"/>
    <w:rsid w:val="00AD049C"/>
    <w:rsid w:val="00AD06E2"/>
    <w:rsid w:val="00AD0B0D"/>
    <w:rsid w:val="00AD0D75"/>
    <w:rsid w:val="00AD0F31"/>
    <w:rsid w:val="00AD1270"/>
    <w:rsid w:val="00AD1541"/>
    <w:rsid w:val="00AD1578"/>
    <w:rsid w:val="00AD1E9D"/>
    <w:rsid w:val="00AD1EAB"/>
    <w:rsid w:val="00AD2769"/>
    <w:rsid w:val="00AD2D07"/>
    <w:rsid w:val="00AD393F"/>
    <w:rsid w:val="00AD3F31"/>
    <w:rsid w:val="00AD417F"/>
    <w:rsid w:val="00AD4610"/>
    <w:rsid w:val="00AD48FA"/>
    <w:rsid w:val="00AD4AEE"/>
    <w:rsid w:val="00AD4DDB"/>
    <w:rsid w:val="00AD5049"/>
    <w:rsid w:val="00AD5291"/>
    <w:rsid w:val="00AD5338"/>
    <w:rsid w:val="00AD5537"/>
    <w:rsid w:val="00AD5943"/>
    <w:rsid w:val="00AD5AE2"/>
    <w:rsid w:val="00AD6479"/>
    <w:rsid w:val="00AD6612"/>
    <w:rsid w:val="00AD67EA"/>
    <w:rsid w:val="00AD6FC9"/>
    <w:rsid w:val="00AD72CF"/>
    <w:rsid w:val="00AD7DDF"/>
    <w:rsid w:val="00AD7F6F"/>
    <w:rsid w:val="00AE070E"/>
    <w:rsid w:val="00AE10FF"/>
    <w:rsid w:val="00AE1188"/>
    <w:rsid w:val="00AE1459"/>
    <w:rsid w:val="00AE160B"/>
    <w:rsid w:val="00AE1DDE"/>
    <w:rsid w:val="00AE3765"/>
    <w:rsid w:val="00AE3BC1"/>
    <w:rsid w:val="00AE3EA4"/>
    <w:rsid w:val="00AE42C6"/>
    <w:rsid w:val="00AE4591"/>
    <w:rsid w:val="00AE476B"/>
    <w:rsid w:val="00AE4A8B"/>
    <w:rsid w:val="00AE5C5D"/>
    <w:rsid w:val="00AE5CE7"/>
    <w:rsid w:val="00AE5FB3"/>
    <w:rsid w:val="00AE6499"/>
    <w:rsid w:val="00AE64A3"/>
    <w:rsid w:val="00AE64C3"/>
    <w:rsid w:val="00AE668D"/>
    <w:rsid w:val="00AE6900"/>
    <w:rsid w:val="00AE7380"/>
    <w:rsid w:val="00AE7952"/>
    <w:rsid w:val="00AE7B76"/>
    <w:rsid w:val="00AE7DC2"/>
    <w:rsid w:val="00AE7EC8"/>
    <w:rsid w:val="00AF026C"/>
    <w:rsid w:val="00AF033E"/>
    <w:rsid w:val="00AF0488"/>
    <w:rsid w:val="00AF07EE"/>
    <w:rsid w:val="00AF09D3"/>
    <w:rsid w:val="00AF14BD"/>
    <w:rsid w:val="00AF16AF"/>
    <w:rsid w:val="00AF17F2"/>
    <w:rsid w:val="00AF2096"/>
    <w:rsid w:val="00AF23AE"/>
    <w:rsid w:val="00AF2692"/>
    <w:rsid w:val="00AF2AB2"/>
    <w:rsid w:val="00AF2B92"/>
    <w:rsid w:val="00AF31B2"/>
    <w:rsid w:val="00AF3343"/>
    <w:rsid w:val="00AF336F"/>
    <w:rsid w:val="00AF337D"/>
    <w:rsid w:val="00AF33EB"/>
    <w:rsid w:val="00AF387B"/>
    <w:rsid w:val="00AF3F6F"/>
    <w:rsid w:val="00AF41B9"/>
    <w:rsid w:val="00AF421D"/>
    <w:rsid w:val="00AF466A"/>
    <w:rsid w:val="00AF48A2"/>
    <w:rsid w:val="00AF5248"/>
    <w:rsid w:val="00AF5338"/>
    <w:rsid w:val="00AF5DDB"/>
    <w:rsid w:val="00AF5DE7"/>
    <w:rsid w:val="00AF61D2"/>
    <w:rsid w:val="00AF6719"/>
    <w:rsid w:val="00AF6DFB"/>
    <w:rsid w:val="00AF7407"/>
    <w:rsid w:val="00AF76AE"/>
    <w:rsid w:val="00AF777A"/>
    <w:rsid w:val="00AF7B2E"/>
    <w:rsid w:val="00AF7FD5"/>
    <w:rsid w:val="00B00392"/>
    <w:rsid w:val="00B00448"/>
    <w:rsid w:val="00B00886"/>
    <w:rsid w:val="00B01142"/>
    <w:rsid w:val="00B01403"/>
    <w:rsid w:val="00B0186C"/>
    <w:rsid w:val="00B01AC2"/>
    <w:rsid w:val="00B01CBD"/>
    <w:rsid w:val="00B0248F"/>
    <w:rsid w:val="00B02C8E"/>
    <w:rsid w:val="00B02ED3"/>
    <w:rsid w:val="00B038E7"/>
    <w:rsid w:val="00B046D6"/>
    <w:rsid w:val="00B04A68"/>
    <w:rsid w:val="00B04CA3"/>
    <w:rsid w:val="00B04DE4"/>
    <w:rsid w:val="00B04ED9"/>
    <w:rsid w:val="00B05351"/>
    <w:rsid w:val="00B05BAD"/>
    <w:rsid w:val="00B05CE7"/>
    <w:rsid w:val="00B060A4"/>
    <w:rsid w:val="00B0695A"/>
    <w:rsid w:val="00B06A88"/>
    <w:rsid w:val="00B0717E"/>
    <w:rsid w:val="00B0721E"/>
    <w:rsid w:val="00B0744C"/>
    <w:rsid w:val="00B07D48"/>
    <w:rsid w:val="00B10A40"/>
    <w:rsid w:val="00B10AC4"/>
    <w:rsid w:val="00B11B64"/>
    <w:rsid w:val="00B11BE3"/>
    <w:rsid w:val="00B11DC0"/>
    <w:rsid w:val="00B11E2E"/>
    <w:rsid w:val="00B12055"/>
    <w:rsid w:val="00B12579"/>
    <w:rsid w:val="00B12A54"/>
    <w:rsid w:val="00B13248"/>
    <w:rsid w:val="00B1393D"/>
    <w:rsid w:val="00B13E9F"/>
    <w:rsid w:val="00B13F3A"/>
    <w:rsid w:val="00B14222"/>
    <w:rsid w:val="00B14280"/>
    <w:rsid w:val="00B142DF"/>
    <w:rsid w:val="00B14656"/>
    <w:rsid w:val="00B1484C"/>
    <w:rsid w:val="00B14898"/>
    <w:rsid w:val="00B14F9E"/>
    <w:rsid w:val="00B159DA"/>
    <w:rsid w:val="00B15FFD"/>
    <w:rsid w:val="00B161D9"/>
    <w:rsid w:val="00B16380"/>
    <w:rsid w:val="00B16A6C"/>
    <w:rsid w:val="00B16DC0"/>
    <w:rsid w:val="00B1709A"/>
    <w:rsid w:val="00B174C9"/>
    <w:rsid w:val="00B17573"/>
    <w:rsid w:val="00B17CA1"/>
    <w:rsid w:val="00B2042F"/>
    <w:rsid w:val="00B20506"/>
    <w:rsid w:val="00B2078A"/>
    <w:rsid w:val="00B207F8"/>
    <w:rsid w:val="00B2094D"/>
    <w:rsid w:val="00B20B00"/>
    <w:rsid w:val="00B20D71"/>
    <w:rsid w:val="00B21119"/>
    <w:rsid w:val="00B216DC"/>
    <w:rsid w:val="00B21B06"/>
    <w:rsid w:val="00B21E9E"/>
    <w:rsid w:val="00B223C4"/>
    <w:rsid w:val="00B22437"/>
    <w:rsid w:val="00B22568"/>
    <w:rsid w:val="00B22EA5"/>
    <w:rsid w:val="00B23062"/>
    <w:rsid w:val="00B233A0"/>
    <w:rsid w:val="00B23632"/>
    <w:rsid w:val="00B23C95"/>
    <w:rsid w:val="00B23C96"/>
    <w:rsid w:val="00B24213"/>
    <w:rsid w:val="00B2426C"/>
    <w:rsid w:val="00B24683"/>
    <w:rsid w:val="00B249A2"/>
    <w:rsid w:val="00B2502A"/>
    <w:rsid w:val="00B26160"/>
    <w:rsid w:val="00B262A6"/>
    <w:rsid w:val="00B26400"/>
    <w:rsid w:val="00B265F9"/>
    <w:rsid w:val="00B26A0C"/>
    <w:rsid w:val="00B26E0D"/>
    <w:rsid w:val="00B301DC"/>
    <w:rsid w:val="00B30596"/>
    <w:rsid w:val="00B307A2"/>
    <w:rsid w:val="00B30BC4"/>
    <w:rsid w:val="00B30E3F"/>
    <w:rsid w:val="00B31101"/>
    <w:rsid w:val="00B31267"/>
    <w:rsid w:val="00B31275"/>
    <w:rsid w:val="00B31D51"/>
    <w:rsid w:val="00B31DCF"/>
    <w:rsid w:val="00B32426"/>
    <w:rsid w:val="00B32471"/>
    <w:rsid w:val="00B326CC"/>
    <w:rsid w:val="00B32B84"/>
    <w:rsid w:val="00B33737"/>
    <w:rsid w:val="00B33BE9"/>
    <w:rsid w:val="00B34E82"/>
    <w:rsid w:val="00B36182"/>
    <w:rsid w:val="00B36293"/>
    <w:rsid w:val="00B3639B"/>
    <w:rsid w:val="00B364A8"/>
    <w:rsid w:val="00B37DC2"/>
    <w:rsid w:val="00B37EE6"/>
    <w:rsid w:val="00B4000E"/>
    <w:rsid w:val="00B40206"/>
    <w:rsid w:val="00B403F7"/>
    <w:rsid w:val="00B406D4"/>
    <w:rsid w:val="00B408AB"/>
    <w:rsid w:val="00B40F60"/>
    <w:rsid w:val="00B40F71"/>
    <w:rsid w:val="00B4111D"/>
    <w:rsid w:val="00B41992"/>
    <w:rsid w:val="00B419FF"/>
    <w:rsid w:val="00B41C4C"/>
    <w:rsid w:val="00B41F5E"/>
    <w:rsid w:val="00B41FA8"/>
    <w:rsid w:val="00B42263"/>
    <w:rsid w:val="00B42CAC"/>
    <w:rsid w:val="00B42D59"/>
    <w:rsid w:val="00B43232"/>
    <w:rsid w:val="00B43332"/>
    <w:rsid w:val="00B43481"/>
    <w:rsid w:val="00B43A54"/>
    <w:rsid w:val="00B43BCD"/>
    <w:rsid w:val="00B44167"/>
    <w:rsid w:val="00B44215"/>
    <w:rsid w:val="00B442A0"/>
    <w:rsid w:val="00B4470C"/>
    <w:rsid w:val="00B44AFA"/>
    <w:rsid w:val="00B44D7F"/>
    <w:rsid w:val="00B45475"/>
    <w:rsid w:val="00B4591A"/>
    <w:rsid w:val="00B45BD1"/>
    <w:rsid w:val="00B45C33"/>
    <w:rsid w:val="00B45DDB"/>
    <w:rsid w:val="00B4611D"/>
    <w:rsid w:val="00B46227"/>
    <w:rsid w:val="00B4633D"/>
    <w:rsid w:val="00B463AB"/>
    <w:rsid w:val="00B46563"/>
    <w:rsid w:val="00B46C5C"/>
    <w:rsid w:val="00B475C7"/>
    <w:rsid w:val="00B476AD"/>
    <w:rsid w:val="00B47704"/>
    <w:rsid w:val="00B503AD"/>
    <w:rsid w:val="00B50B13"/>
    <w:rsid w:val="00B51045"/>
    <w:rsid w:val="00B518FD"/>
    <w:rsid w:val="00B522CE"/>
    <w:rsid w:val="00B52AE1"/>
    <w:rsid w:val="00B52EDD"/>
    <w:rsid w:val="00B53042"/>
    <w:rsid w:val="00B5359C"/>
    <w:rsid w:val="00B53D60"/>
    <w:rsid w:val="00B53E8C"/>
    <w:rsid w:val="00B54867"/>
    <w:rsid w:val="00B54910"/>
    <w:rsid w:val="00B54AE5"/>
    <w:rsid w:val="00B552B2"/>
    <w:rsid w:val="00B55305"/>
    <w:rsid w:val="00B55530"/>
    <w:rsid w:val="00B558E8"/>
    <w:rsid w:val="00B55A5F"/>
    <w:rsid w:val="00B55EB8"/>
    <w:rsid w:val="00B5654C"/>
    <w:rsid w:val="00B565DA"/>
    <w:rsid w:val="00B56FCB"/>
    <w:rsid w:val="00B570D4"/>
    <w:rsid w:val="00B57429"/>
    <w:rsid w:val="00B60256"/>
    <w:rsid w:val="00B611B5"/>
    <w:rsid w:val="00B6151D"/>
    <w:rsid w:val="00B616E6"/>
    <w:rsid w:val="00B61E81"/>
    <w:rsid w:val="00B62331"/>
    <w:rsid w:val="00B626FB"/>
    <w:rsid w:val="00B62DFE"/>
    <w:rsid w:val="00B639E3"/>
    <w:rsid w:val="00B63B28"/>
    <w:rsid w:val="00B64122"/>
    <w:rsid w:val="00B64F72"/>
    <w:rsid w:val="00B65077"/>
    <w:rsid w:val="00B653DD"/>
    <w:rsid w:val="00B657C0"/>
    <w:rsid w:val="00B65D38"/>
    <w:rsid w:val="00B6600C"/>
    <w:rsid w:val="00B6659F"/>
    <w:rsid w:val="00B6677E"/>
    <w:rsid w:val="00B673D0"/>
    <w:rsid w:val="00B678F5"/>
    <w:rsid w:val="00B67A19"/>
    <w:rsid w:val="00B70209"/>
    <w:rsid w:val="00B70A36"/>
    <w:rsid w:val="00B70C71"/>
    <w:rsid w:val="00B7113E"/>
    <w:rsid w:val="00B716D5"/>
    <w:rsid w:val="00B71FFD"/>
    <w:rsid w:val="00B7260A"/>
    <w:rsid w:val="00B72CBC"/>
    <w:rsid w:val="00B72F47"/>
    <w:rsid w:val="00B734A7"/>
    <w:rsid w:val="00B736B7"/>
    <w:rsid w:val="00B73B2C"/>
    <w:rsid w:val="00B73D9E"/>
    <w:rsid w:val="00B74100"/>
    <w:rsid w:val="00B749A4"/>
    <w:rsid w:val="00B74A2E"/>
    <w:rsid w:val="00B74C4B"/>
    <w:rsid w:val="00B74E7D"/>
    <w:rsid w:val="00B75979"/>
    <w:rsid w:val="00B75C80"/>
    <w:rsid w:val="00B76A73"/>
    <w:rsid w:val="00B76E5D"/>
    <w:rsid w:val="00B76F9C"/>
    <w:rsid w:val="00B770B9"/>
    <w:rsid w:val="00B77468"/>
    <w:rsid w:val="00B7799C"/>
    <w:rsid w:val="00B7799D"/>
    <w:rsid w:val="00B8023F"/>
    <w:rsid w:val="00B804E7"/>
    <w:rsid w:val="00B81CC7"/>
    <w:rsid w:val="00B81F4B"/>
    <w:rsid w:val="00B82E28"/>
    <w:rsid w:val="00B832FF"/>
    <w:rsid w:val="00B83620"/>
    <w:rsid w:val="00B83AE1"/>
    <w:rsid w:val="00B84047"/>
    <w:rsid w:val="00B8441D"/>
    <w:rsid w:val="00B8467A"/>
    <w:rsid w:val="00B84FD3"/>
    <w:rsid w:val="00B84FED"/>
    <w:rsid w:val="00B8536A"/>
    <w:rsid w:val="00B854B0"/>
    <w:rsid w:val="00B85BF6"/>
    <w:rsid w:val="00B85F15"/>
    <w:rsid w:val="00B85FDC"/>
    <w:rsid w:val="00B861BA"/>
    <w:rsid w:val="00B863AC"/>
    <w:rsid w:val="00B86ABE"/>
    <w:rsid w:val="00B86D04"/>
    <w:rsid w:val="00B873CC"/>
    <w:rsid w:val="00B873F3"/>
    <w:rsid w:val="00B8761D"/>
    <w:rsid w:val="00B877C2"/>
    <w:rsid w:val="00B878C5"/>
    <w:rsid w:val="00B87969"/>
    <w:rsid w:val="00B87DDC"/>
    <w:rsid w:val="00B90153"/>
    <w:rsid w:val="00B904B2"/>
    <w:rsid w:val="00B90611"/>
    <w:rsid w:val="00B90C80"/>
    <w:rsid w:val="00B911AF"/>
    <w:rsid w:val="00B91268"/>
    <w:rsid w:val="00B914B3"/>
    <w:rsid w:val="00B91D59"/>
    <w:rsid w:val="00B92366"/>
    <w:rsid w:val="00B92595"/>
    <w:rsid w:val="00B92AAD"/>
    <w:rsid w:val="00B92DDE"/>
    <w:rsid w:val="00B92FA7"/>
    <w:rsid w:val="00B93061"/>
    <w:rsid w:val="00B9361A"/>
    <w:rsid w:val="00B9381B"/>
    <w:rsid w:val="00B93CF9"/>
    <w:rsid w:val="00B93DD9"/>
    <w:rsid w:val="00B9405B"/>
    <w:rsid w:val="00B947B9"/>
    <w:rsid w:val="00B95270"/>
    <w:rsid w:val="00B9548E"/>
    <w:rsid w:val="00B957EB"/>
    <w:rsid w:val="00B95ECC"/>
    <w:rsid w:val="00B9634E"/>
    <w:rsid w:val="00B9650B"/>
    <w:rsid w:val="00B96A93"/>
    <w:rsid w:val="00B96C8D"/>
    <w:rsid w:val="00B96D9A"/>
    <w:rsid w:val="00B970F0"/>
    <w:rsid w:val="00B9779D"/>
    <w:rsid w:val="00B9785C"/>
    <w:rsid w:val="00B97C29"/>
    <w:rsid w:val="00B97D47"/>
    <w:rsid w:val="00BA0178"/>
    <w:rsid w:val="00BA06D4"/>
    <w:rsid w:val="00BA0F55"/>
    <w:rsid w:val="00BA108A"/>
    <w:rsid w:val="00BA12E6"/>
    <w:rsid w:val="00BA15D8"/>
    <w:rsid w:val="00BA15FC"/>
    <w:rsid w:val="00BA1C57"/>
    <w:rsid w:val="00BA1F9D"/>
    <w:rsid w:val="00BA1FF8"/>
    <w:rsid w:val="00BA2307"/>
    <w:rsid w:val="00BA2728"/>
    <w:rsid w:val="00BA2ECD"/>
    <w:rsid w:val="00BA3F0A"/>
    <w:rsid w:val="00BA455E"/>
    <w:rsid w:val="00BA455F"/>
    <w:rsid w:val="00BA529E"/>
    <w:rsid w:val="00BA5335"/>
    <w:rsid w:val="00BA59B0"/>
    <w:rsid w:val="00BA59D6"/>
    <w:rsid w:val="00BA6146"/>
    <w:rsid w:val="00BA6581"/>
    <w:rsid w:val="00BA6619"/>
    <w:rsid w:val="00BA711F"/>
    <w:rsid w:val="00BA7357"/>
    <w:rsid w:val="00BA7490"/>
    <w:rsid w:val="00BA7C6D"/>
    <w:rsid w:val="00BA7F5F"/>
    <w:rsid w:val="00BB0825"/>
    <w:rsid w:val="00BB0B68"/>
    <w:rsid w:val="00BB1523"/>
    <w:rsid w:val="00BB1C67"/>
    <w:rsid w:val="00BB2480"/>
    <w:rsid w:val="00BB24F0"/>
    <w:rsid w:val="00BB29D4"/>
    <w:rsid w:val="00BB2B41"/>
    <w:rsid w:val="00BB3627"/>
    <w:rsid w:val="00BB36CD"/>
    <w:rsid w:val="00BB36ED"/>
    <w:rsid w:val="00BB392B"/>
    <w:rsid w:val="00BB412B"/>
    <w:rsid w:val="00BB4EFF"/>
    <w:rsid w:val="00BB521F"/>
    <w:rsid w:val="00BB56DF"/>
    <w:rsid w:val="00BB57EB"/>
    <w:rsid w:val="00BB5867"/>
    <w:rsid w:val="00BB6FB2"/>
    <w:rsid w:val="00BB7150"/>
    <w:rsid w:val="00BB71A8"/>
    <w:rsid w:val="00BB7574"/>
    <w:rsid w:val="00BB7770"/>
    <w:rsid w:val="00BC0171"/>
    <w:rsid w:val="00BC039B"/>
    <w:rsid w:val="00BC06AE"/>
    <w:rsid w:val="00BC07DD"/>
    <w:rsid w:val="00BC0D02"/>
    <w:rsid w:val="00BC15CA"/>
    <w:rsid w:val="00BC1A17"/>
    <w:rsid w:val="00BC25AC"/>
    <w:rsid w:val="00BC3002"/>
    <w:rsid w:val="00BC354A"/>
    <w:rsid w:val="00BC3991"/>
    <w:rsid w:val="00BC4448"/>
    <w:rsid w:val="00BC4711"/>
    <w:rsid w:val="00BC52B9"/>
    <w:rsid w:val="00BC538B"/>
    <w:rsid w:val="00BC5720"/>
    <w:rsid w:val="00BC5845"/>
    <w:rsid w:val="00BC6A90"/>
    <w:rsid w:val="00BC6F88"/>
    <w:rsid w:val="00BC718A"/>
    <w:rsid w:val="00BC78CA"/>
    <w:rsid w:val="00BC7B4C"/>
    <w:rsid w:val="00BC7C60"/>
    <w:rsid w:val="00BC7D56"/>
    <w:rsid w:val="00BC7D72"/>
    <w:rsid w:val="00BD08DC"/>
    <w:rsid w:val="00BD11FD"/>
    <w:rsid w:val="00BD13BB"/>
    <w:rsid w:val="00BD178C"/>
    <w:rsid w:val="00BD1873"/>
    <w:rsid w:val="00BD2138"/>
    <w:rsid w:val="00BD214E"/>
    <w:rsid w:val="00BD2694"/>
    <w:rsid w:val="00BD339F"/>
    <w:rsid w:val="00BD38E6"/>
    <w:rsid w:val="00BD4411"/>
    <w:rsid w:val="00BD4455"/>
    <w:rsid w:val="00BD4714"/>
    <w:rsid w:val="00BD4AE6"/>
    <w:rsid w:val="00BD4BAF"/>
    <w:rsid w:val="00BD5618"/>
    <w:rsid w:val="00BD5A6A"/>
    <w:rsid w:val="00BD5B56"/>
    <w:rsid w:val="00BD5BED"/>
    <w:rsid w:val="00BD5C01"/>
    <w:rsid w:val="00BD5D55"/>
    <w:rsid w:val="00BD5EE2"/>
    <w:rsid w:val="00BD645B"/>
    <w:rsid w:val="00BD6E4E"/>
    <w:rsid w:val="00BD757C"/>
    <w:rsid w:val="00BD78A3"/>
    <w:rsid w:val="00BD7E45"/>
    <w:rsid w:val="00BD7F3B"/>
    <w:rsid w:val="00BE04FD"/>
    <w:rsid w:val="00BE0849"/>
    <w:rsid w:val="00BE13B6"/>
    <w:rsid w:val="00BE1BD2"/>
    <w:rsid w:val="00BE1EFB"/>
    <w:rsid w:val="00BE22F2"/>
    <w:rsid w:val="00BE266E"/>
    <w:rsid w:val="00BE27BE"/>
    <w:rsid w:val="00BE2A67"/>
    <w:rsid w:val="00BE320B"/>
    <w:rsid w:val="00BE3300"/>
    <w:rsid w:val="00BE397B"/>
    <w:rsid w:val="00BE39CB"/>
    <w:rsid w:val="00BE3C81"/>
    <w:rsid w:val="00BE3EB7"/>
    <w:rsid w:val="00BE42FF"/>
    <w:rsid w:val="00BE450F"/>
    <w:rsid w:val="00BE5E5B"/>
    <w:rsid w:val="00BE61A5"/>
    <w:rsid w:val="00BE69EF"/>
    <w:rsid w:val="00BE7068"/>
    <w:rsid w:val="00BE7567"/>
    <w:rsid w:val="00BE7703"/>
    <w:rsid w:val="00BE7730"/>
    <w:rsid w:val="00BE77FA"/>
    <w:rsid w:val="00BE7EBB"/>
    <w:rsid w:val="00BE7F06"/>
    <w:rsid w:val="00BF00C0"/>
    <w:rsid w:val="00BF055E"/>
    <w:rsid w:val="00BF0B41"/>
    <w:rsid w:val="00BF1518"/>
    <w:rsid w:val="00BF1DA2"/>
    <w:rsid w:val="00BF23CE"/>
    <w:rsid w:val="00BF274A"/>
    <w:rsid w:val="00BF28FA"/>
    <w:rsid w:val="00BF3072"/>
    <w:rsid w:val="00BF3500"/>
    <w:rsid w:val="00BF386A"/>
    <w:rsid w:val="00BF38C4"/>
    <w:rsid w:val="00BF39CF"/>
    <w:rsid w:val="00BF3E7D"/>
    <w:rsid w:val="00BF4072"/>
    <w:rsid w:val="00BF4664"/>
    <w:rsid w:val="00BF4E6E"/>
    <w:rsid w:val="00BF50AE"/>
    <w:rsid w:val="00BF55D6"/>
    <w:rsid w:val="00BF58B1"/>
    <w:rsid w:val="00BF632D"/>
    <w:rsid w:val="00BF6530"/>
    <w:rsid w:val="00BF68E0"/>
    <w:rsid w:val="00BF71F9"/>
    <w:rsid w:val="00BF751C"/>
    <w:rsid w:val="00BF7548"/>
    <w:rsid w:val="00C00084"/>
    <w:rsid w:val="00C00699"/>
    <w:rsid w:val="00C00DF0"/>
    <w:rsid w:val="00C00EE8"/>
    <w:rsid w:val="00C00F14"/>
    <w:rsid w:val="00C01680"/>
    <w:rsid w:val="00C018F6"/>
    <w:rsid w:val="00C01B0E"/>
    <w:rsid w:val="00C01BE5"/>
    <w:rsid w:val="00C01D45"/>
    <w:rsid w:val="00C02271"/>
    <w:rsid w:val="00C024A7"/>
    <w:rsid w:val="00C024DF"/>
    <w:rsid w:val="00C02E52"/>
    <w:rsid w:val="00C02F2B"/>
    <w:rsid w:val="00C03376"/>
    <w:rsid w:val="00C0362E"/>
    <w:rsid w:val="00C03736"/>
    <w:rsid w:val="00C03B90"/>
    <w:rsid w:val="00C0409E"/>
    <w:rsid w:val="00C04135"/>
    <w:rsid w:val="00C042B2"/>
    <w:rsid w:val="00C048DA"/>
    <w:rsid w:val="00C04CED"/>
    <w:rsid w:val="00C05D7A"/>
    <w:rsid w:val="00C0608B"/>
    <w:rsid w:val="00C06159"/>
    <w:rsid w:val="00C06287"/>
    <w:rsid w:val="00C06301"/>
    <w:rsid w:val="00C06550"/>
    <w:rsid w:val="00C0685C"/>
    <w:rsid w:val="00C06AC9"/>
    <w:rsid w:val="00C070A6"/>
    <w:rsid w:val="00C0716A"/>
    <w:rsid w:val="00C07949"/>
    <w:rsid w:val="00C07E3B"/>
    <w:rsid w:val="00C10073"/>
    <w:rsid w:val="00C1023A"/>
    <w:rsid w:val="00C10924"/>
    <w:rsid w:val="00C10BF3"/>
    <w:rsid w:val="00C11265"/>
    <w:rsid w:val="00C11846"/>
    <w:rsid w:val="00C11B4E"/>
    <w:rsid w:val="00C11DD6"/>
    <w:rsid w:val="00C121AB"/>
    <w:rsid w:val="00C12502"/>
    <w:rsid w:val="00C129C9"/>
    <w:rsid w:val="00C129CE"/>
    <w:rsid w:val="00C12D3F"/>
    <w:rsid w:val="00C12ECF"/>
    <w:rsid w:val="00C131D1"/>
    <w:rsid w:val="00C13498"/>
    <w:rsid w:val="00C13915"/>
    <w:rsid w:val="00C13C46"/>
    <w:rsid w:val="00C1405D"/>
    <w:rsid w:val="00C14500"/>
    <w:rsid w:val="00C159F9"/>
    <w:rsid w:val="00C15BBD"/>
    <w:rsid w:val="00C15D6F"/>
    <w:rsid w:val="00C16960"/>
    <w:rsid w:val="00C169CF"/>
    <w:rsid w:val="00C16F42"/>
    <w:rsid w:val="00C17B90"/>
    <w:rsid w:val="00C17BF4"/>
    <w:rsid w:val="00C17FD6"/>
    <w:rsid w:val="00C203B8"/>
    <w:rsid w:val="00C2066C"/>
    <w:rsid w:val="00C20DE8"/>
    <w:rsid w:val="00C21492"/>
    <w:rsid w:val="00C21B63"/>
    <w:rsid w:val="00C21BF8"/>
    <w:rsid w:val="00C22123"/>
    <w:rsid w:val="00C22E18"/>
    <w:rsid w:val="00C2312F"/>
    <w:rsid w:val="00C235E1"/>
    <w:rsid w:val="00C238A3"/>
    <w:rsid w:val="00C23DBE"/>
    <w:rsid w:val="00C23E46"/>
    <w:rsid w:val="00C24CF0"/>
    <w:rsid w:val="00C24D29"/>
    <w:rsid w:val="00C257BD"/>
    <w:rsid w:val="00C25F83"/>
    <w:rsid w:val="00C267D3"/>
    <w:rsid w:val="00C2689E"/>
    <w:rsid w:val="00C26925"/>
    <w:rsid w:val="00C26D95"/>
    <w:rsid w:val="00C278BF"/>
    <w:rsid w:val="00C27B8B"/>
    <w:rsid w:val="00C27F50"/>
    <w:rsid w:val="00C30A17"/>
    <w:rsid w:val="00C30B0F"/>
    <w:rsid w:val="00C30FC6"/>
    <w:rsid w:val="00C310D5"/>
    <w:rsid w:val="00C312AA"/>
    <w:rsid w:val="00C31C61"/>
    <w:rsid w:val="00C31DDE"/>
    <w:rsid w:val="00C321E7"/>
    <w:rsid w:val="00C32EA7"/>
    <w:rsid w:val="00C33ADE"/>
    <w:rsid w:val="00C33FB0"/>
    <w:rsid w:val="00C3467D"/>
    <w:rsid w:val="00C35176"/>
    <w:rsid w:val="00C356FB"/>
    <w:rsid w:val="00C35DCC"/>
    <w:rsid w:val="00C36A80"/>
    <w:rsid w:val="00C37689"/>
    <w:rsid w:val="00C37BE7"/>
    <w:rsid w:val="00C40066"/>
    <w:rsid w:val="00C4027A"/>
    <w:rsid w:val="00C404C8"/>
    <w:rsid w:val="00C409AE"/>
    <w:rsid w:val="00C4123C"/>
    <w:rsid w:val="00C418FF"/>
    <w:rsid w:val="00C41BB6"/>
    <w:rsid w:val="00C424AA"/>
    <w:rsid w:val="00C425B0"/>
    <w:rsid w:val="00C425F4"/>
    <w:rsid w:val="00C42713"/>
    <w:rsid w:val="00C427B1"/>
    <w:rsid w:val="00C4294D"/>
    <w:rsid w:val="00C4299D"/>
    <w:rsid w:val="00C42C84"/>
    <w:rsid w:val="00C4307F"/>
    <w:rsid w:val="00C43404"/>
    <w:rsid w:val="00C435B6"/>
    <w:rsid w:val="00C43934"/>
    <w:rsid w:val="00C43D04"/>
    <w:rsid w:val="00C43FA0"/>
    <w:rsid w:val="00C44231"/>
    <w:rsid w:val="00C44537"/>
    <w:rsid w:val="00C44A2A"/>
    <w:rsid w:val="00C44C4C"/>
    <w:rsid w:val="00C450E3"/>
    <w:rsid w:val="00C4516C"/>
    <w:rsid w:val="00C4525D"/>
    <w:rsid w:val="00C45DAD"/>
    <w:rsid w:val="00C466DE"/>
    <w:rsid w:val="00C4673B"/>
    <w:rsid w:val="00C46AE4"/>
    <w:rsid w:val="00C4782B"/>
    <w:rsid w:val="00C47C5C"/>
    <w:rsid w:val="00C50065"/>
    <w:rsid w:val="00C506FA"/>
    <w:rsid w:val="00C50DBD"/>
    <w:rsid w:val="00C51063"/>
    <w:rsid w:val="00C514D1"/>
    <w:rsid w:val="00C52162"/>
    <w:rsid w:val="00C52207"/>
    <w:rsid w:val="00C527BC"/>
    <w:rsid w:val="00C52B4B"/>
    <w:rsid w:val="00C52C55"/>
    <w:rsid w:val="00C53AB1"/>
    <w:rsid w:val="00C53FB1"/>
    <w:rsid w:val="00C546C0"/>
    <w:rsid w:val="00C54D88"/>
    <w:rsid w:val="00C55533"/>
    <w:rsid w:val="00C55B0B"/>
    <w:rsid w:val="00C55BFD"/>
    <w:rsid w:val="00C56084"/>
    <w:rsid w:val="00C56705"/>
    <w:rsid w:val="00C56AB8"/>
    <w:rsid w:val="00C56D56"/>
    <w:rsid w:val="00C5724E"/>
    <w:rsid w:val="00C577B5"/>
    <w:rsid w:val="00C5799D"/>
    <w:rsid w:val="00C57C32"/>
    <w:rsid w:val="00C60844"/>
    <w:rsid w:val="00C60EFD"/>
    <w:rsid w:val="00C60FA4"/>
    <w:rsid w:val="00C615FA"/>
    <w:rsid w:val="00C61620"/>
    <w:rsid w:val="00C61F88"/>
    <w:rsid w:val="00C6216B"/>
    <w:rsid w:val="00C623A1"/>
    <w:rsid w:val="00C625DC"/>
    <w:rsid w:val="00C625E6"/>
    <w:rsid w:val="00C62AEA"/>
    <w:rsid w:val="00C62FFA"/>
    <w:rsid w:val="00C634DC"/>
    <w:rsid w:val="00C63DA4"/>
    <w:rsid w:val="00C64447"/>
    <w:rsid w:val="00C64707"/>
    <w:rsid w:val="00C64DC3"/>
    <w:rsid w:val="00C64F64"/>
    <w:rsid w:val="00C653C3"/>
    <w:rsid w:val="00C656A3"/>
    <w:rsid w:val="00C65701"/>
    <w:rsid w:val="00C659DC"/>
    <w:rsid w:val="00C65C7B"/>
    <w:rsid w:val="00C6628A"/>
    <w:rsid w:val="00C66365"/>
    <w:rsid w:val="00C66978"/>
    <w:rsid w:val="00C66EC9"/>
    <w:rsid w:val="00C67069"/>
    <w:rsid w:val="00C67E46"/>
    <w:rsid w:val="00C7098A"/>
    <w:rsid w:val="00C70A15"/>
    <w:rsid w:val="00C710B1"/>
    <w:rsid w:val="00C717E3"/>
    <w:rsid w:val="00C71A2B"/>
    <w:rsid w:val="00C71F18"/>
    <w:rsid w:val="00C7271A"/>
    <w:rsid w:val="00C7295D"/>
    <w:rsid w:val="00C72BAF"/>
    <w:rsid w:val="00C733B3"/>
    <w:rsid w:val="00C735CD"/>
    <w:rsid w:val="00C73620"/>
    <w:rsid w:val="00C736D6"/>
    <w:rsid w:val="00C73C21"/>
    <w:rsid w:val="00C73D1A"/>
    <w:rsid w:val="00C73D61"/>
    <w:rsid w:val="00C73FC2"/>
    <w:rsid w:val="00C73FEE"/>
    <w:rsid w:val="00C742DF"/>
    <w:rsid w:val="00C74450"/>
    <w:rsid w:val="00C7458D"/>
    <w:rsid w:val="00C7464E"/>
    <w:rsid w:val="00C74D9D"/>
    <w:rsid w:val="00C7500C"/>
    <w:rsid w:val="00C7508F"/>
    <w:rsid w:val="00C752EC"/>
    <w:rsid w:val="00C75B56"/>
    <w:rsid w:val="00C75DF8"/>
    <w:rsid w:val="00C7638C"/>
    <w:rsid w:val="00C766BA"/>
    <w:rsid w:val="00C76E61"/>
    <w:rsid w:val="00C77DFA"/>
    <w:rsid w:val="00C77ED3"/>
    <w:rsid w:val="00C8006E"/>
    <w:rsid w:val="00C8024C"/>
    <w:rsid w:val="00C80541"/>
    <w:rsid w:val="00C80F38"/>
    <w:rsid w:val="00C81456"/>
    <w:rsid w:val="00C81523"/>
    <w:rsid w:val="00C81AA1"/>
    <w:rsid w:val="00C82004"/>
    <w:rsid w:val="00C8253D"/>
    <w:rsid w:val="00C82654"/>
    <w:rsid w:val="00C82C1C"/>
    <w:rsid w:val="00C82C4F"/>
    <w:rsid w:val="00C82F95"/>
    <w:rsid w:val="00C83362"/>
    <w:rsid w:val="00C83418"/>
    <w:rsid w:val="00C8412E"/>
    <w:rsid w:val="00C845EA"/>
    <w:rsid w:val="00C84747"/>
    <w:rsid w:val="00C84CEE"/>
    <w:rsid w:val="00C85AAB"/>
    <w:rsid w:val="00C86329"/>
    <w:rsid w:val="00C86793"/>
    <w:rsid w:val="00C86BFE"/>
    <w:rsid w:val="00C86D9F"/>
    <w:rsid w:val="00C87039"/>
    <w:rsid w:val="00C87446"/>
    <w:rsid w:val="00C877CC"/>
    <w:rsid w:val="00C87C60"/>
    <w:rsid w:val="00C90278"/>
    <w:rsid w:val="00C902D2"/>
    <w:rsid w:val="00C9043B"/>
    <w:rsid w:val="00C90569"/>
    <w:rsid w:val="00C90903"/>
    <w:rsid w:val="00C91716"/>
    <w:rsid w:val="00C91EC3"/>
    <w:rsid w:val="00C92175"/>
    <w:rsid w:val="00C926DD"/>
    <w:rsid w:val="00C9274E"/>
    <w:rsid w:val="00C93360"/>
    <w:rsid w:val="00C93AFE"/>
    <w:rsid w:val="00C93C95"/>
    <w:rsid w:val="00C93E6B"/>
    <w:rsid w:val="00C93E9B"/>
    <w:rsid w:val="00C94149"/>
    <w:rsid w:val="00C94AF3"/>
    <w:rsid w:val="00C95279"/>
    <w:rsid w:val="00C95393"/>
    <w:rsid w:val="00C95E01"/>
    <w:rsid w:val="00C9610B"/>
    <w:rsid w:val="00C9624C"/>
    <w:rsid w:val="00C96A69"/>
    <w:rsid w:val="00C9770E"/>
    <w:rsid w:val="00C9780B"/>
    <w:rsid w:val="00C97B03"/>
    <w:rsid w:val="00C97C60"/>
    <w:rsid w:val="00CA05D1"/>
    <w:rsid w:val="00CA07AE"/>
    <w:rsid w:val="00CA0BA5"/>
    <w:rsid w:val="00CA11DC"/>
    <w:rsid w:val="00CA150F"/>
    <w:rsid w:val="00CA1A72"/>
    <w:rsid w:val="00CA26B8"/>
    <w:rsid w:val="00CA29C1"/>
    <w:rsid w:val="00CA29C2"/>
    <w:rsid w:val="00CA2FF6"/>
    <w:rsid w:val="00CA3359"/>
    <w:rsid w:val="00CA4145"/>
    <w:rsid w:val="00CA415E"/>
    <w:rsid w:val="00CA439C"/>
    <w:rsid w:val="00CA6336"/>
    <w:rsid w:val="00CA6B2C"/>
    <w:rsid w:val="00CA70EA"/>
    <w:rsid w:val="00CA7702"/>
    <w:rsid w:val="00CB035D"/>
    <w:rsid w:val="00CB0AC7"/>
    <w:rsid w:val="00CB1B69"/>
    <w:rsid w:val="00CB25C4"/>
    <w:rsid w:val="00CB2908"/>
    <w:rsid w:val="00CB2F95"/>
    <w:rsid w:val="00CB344B"/>
    <w:rsid w:val="00CB3867"/>
    <w:rsid w:val="00CB3D3B"/>
    <w:rsid w:val="00CB3EF7"/>
    <w:rsid w:val="00CB4057"/>
    <w:rsid w:val="00CB4A91"/>
    <w:rsid w:val="00CB5F84"/>
    <w:rsid w:val="00CB61E3"/>
    <w:rsid w:val="00CB6613"/>
    <w:rsid w:val="00CB66F3"/>
    <w:rsid w:val="00CB671E"/>
    <w:rsid w:val="00CB6917"/>
    <w:rsid w:val="00CB6B83"/>
    <w:rsid w:val="00CB6CBA"/>
    <w:rsid w:val="00CB7175"/>
    <w:rsid w:val="00CB7362"/>
    <w:rsid w:val="00CB73E8"/>
    <w:rsid w:val="00CB7468"/>
    <w:rsid w:val="00CB7558"/>
    <w:rsid w:val="00CB7B5E"/>
    <w:rsid w:val="00CC01CA"/>
    <w:rsid w:val="00CC09C1"/>
    <w:rsid w:val="00CC0C7B"/>
    <w:rsid w:val="00CC0EFE"/>
    <w:rsid w:val="00CC16A4"/>
    <w:rsid w:val="00CC171E"/>
    <w:rsid w:val="00CC18C2"/>
    <w:rsid w:val="00CC1D85"/>
    <w:rsid w:val="00CC2084"/>
    <w:rsid w:val="00CC2948"/>
    <w:rsid w:val="00CC2C28"/>
    <w:rsid w:val="00CC2D54"/>
    <w:rsid w:val="00CC2FFB"/>
    <w:rsid w:val="00CC31AA"/>
    <w:rsid w:val="00CC405D"/>
    <w:rsid w:val="00CC40FE"/>
    <w:rsid w:val="00CC47E3"/>
    <w:rsid w:val="00CC4A9D"/>
    <w:rsid w:val="00CC4B93"/>
    <w:rsid w:val="00CC4CD8"/>
    <w:rsid w:val="00CC5364"/>
    <w:rsid w:val="00CC5484"/>
    <w:rsid w:val="00CC5B46"/>
    <w:rsid w:val="00CC65A3"/>
    <w:rsid w:val="00CC67E2"/>
    <w:rsid w:val="00CC7622"/>
    <w:rsid w:val="00CC766D"/>
    <w:rsid w:val="00CC77BA"/>
    <w:rsid w:val="00CC78A4"/>
    <w:rsid w:val="00CC7991"/>
    <w:rsid w:val="00CC7C8A"/>
    <w:rsid w:val="00CC7D17"/>
    <w:rsid w:val="00CD01E3"/>
    <w:rsid w:val="00CD06EA"/>
    <w:rsid w:val="00CD09DD"/>
    <w:rsid w:val="00CD0F48"/>
    <w:rsid w:val="00CD1294"/>
    <w:rsid w:val="00CD179D"/>
    <w:rsid w:val="00CD182F"/>
    <w:rsid w:val="00CD1863"/>
    <w:rsid w:val="00CD2082"/>
    <w:rsid w:val="00CD225E"/>
    <w:rsid w:val="00CD297B"/>
    <w:rsid w:val="00CD2B00"/>
    <w:rsid w:val="00CD2D7E"/>
    <w:rsid w:val="00CD2F9D"/>
    <w:rsid w:val="00CD3392"/>
    <w:rsid w:val="00CD37D3"/>
    <w:rsid w:val="00CD386B"/>
    <w:rsid w:val="00CD3AC2"/>
    <w:rsid w:val="00CD3B06"/>
    <w:rsid w:val="00CD442E"/>
    <w:rsid w:val="00CD46A2"/>
    <w:rsid w:val="00CD49AB"/>
    <w:rsid w:val="00CD4A23"/>
    <w:rsid w:val="00CD51F3"/>
    <w:rsid w:val="00CD55E5"/>
    <w:rsid w:val="00CD5C5C"/>
    <w:rsid w:val="00CD5E12"/>
    <w:rsid w:val="00CD5F4E"/>
    <w:rsid w:val="00CD6C1F"/>
    <w:rsid w:val="00CD6FB2"/>
    <w:rsid w:val="00CD73E8"/>
    <w:rsid w:val="00CD7488"/>
    <w:rsid w:val="00CD751A"/>
    <w:rsid w:val="00CD7CAE"/>
    <w:rsid w:val="00CE0133"/>
    <w:rsid w:val="00CE0368"/>
    <w:rsid w:val="00CE098E"/>
    <w:rsid w:val="00CE0D3A"/>
    <w:rsid w:val="00CE0E9D"/>
    <w:rsid w:val="00CE0F53"/>
    <w:rsid w:val="00CE172A"/>
    <w:rsid w:val="00CE2F03"/>
    <w:rsid w:val="00CE30A1"/>
    <w:rsid w:val="00CE3634"/>
    <w:rsid w:val="00CE3B0A"/>
    <w:rsid w:val="00CE434C"/>
    <w:rsid w:val="00CE4B50"/>
    <w:rsid w:val="00CE4C2E"/>
    <w:rsid w:val="00CE4E7D"/>
    <w:rsid w:val="00CE57DD"/>
    <w:rsid w:val="00CE5C48"/>
    <w:rsid w:val="00CE636A"/>
    <w:rsid w:val="00CE67B4"/>
    <w:rsid w:val="00CE6A9F"/>
    <w:rsid w:val="00CE6C12"/>
    <w:rsid w:val="00CE6D9A"/>
    <w:rsid w:val="00CE7311"/>
    <w:rsid w:val="00CE73C0"/>
    <w:rsid w:val="00CE777E"/>
    <w:rsid w:val="00CF07F5"/>
    <w:rsid w:val="00CF0E19"/>
    <w:rsid w:val="00CF1140"/>
    <w:rsid w:val="00CF127C"/>
    <w:rsid w:val="00CF18EA"/>
    <w:rsid w:val="00CF1959"/>
    <w:rsid w:val="00CF1F1B"/>
    <w:rsid w:val="00CF1F4F"/>
    <w:rsid w:val="00CF206B"/>
    <w:rsid w:val="00CF216F"/>
    <w:rsid w:val="00CF236F"/>
    <w:rsid w:val="00CF2E3A"/>
    <w:rsid w:val="00CF3175"/>
    <w:rsid w:val="00CF3234"/>
    <w:rsid w:val="00CF3878"/>
    <w:rsid w:val="00CF3E2F"/>
    <w:rsid w:val="00CF3F3D"/>
    <w:rsid w:val="00CF40C3"/>
    <w:rsid w:val="00CF449B"/>
    <w:rsid w:val="00CF4577"/>
    <w:rsid w:val="00CF4634"/>
    <w:rsid w:val="00CF46E8"/>
    <w:rsid w:val="00CF4863"/>
    <w:rsid w:val="00CF4906"/>
    <w:rsid w:val="00CF4A05"/>
    <w:rsid w:val="00CF4A64"/>
    <w:rsid w:val="00CF4D78"/>
    <w:rsid w:val="00CF4F76"/>
    <w:rsid w:val="00CF544C"/>
    <w:rsid w:val="00CF5696"/>
    <w:rsid w:val="00CF5869"/>
    <w:rsid w:val="00CF62C6"/>
    <w:rsid w:val="00CF6454"/>
    <w:rsid w:val="00CF68D2"/>
    <w:rsid w:val="00CF6B22"/>
    <w:rsid w:val="00D002BE"/>
    <w:rsid w:val="00D00709"/>
    <w:rsid w:val="00D00DC4"/>
    <w:rsid w:val="00D012AA"/>
    <w:rsid w:val="00D017FE"/>
    <w:rsid w:val="00D01D76"/>
    <w:rsid w:val="00D021EA"/>
    <w:rsid w:val="00D021F5"/>
    <w:rsid w:val="00D0247F"/>
    <w:rsid w:val="00D02716"/>
    <w:rsid w:val="00D02B27"/>
    <w:rsid w:val="00D02BE0"/>
    <w:rsid w:val="00D03C64"/>
    <w:rsid w:val="00D03D95"/>
    <w:rsid w:val="00D04C20"/>
    <w:rsid w:val="00D05431"/>
    <w:rsid w:val="00D059D1"/>
    <w:rsid w:val="00D0618F"/>
    <w:rsid w:val="00D0652F"/>
    <w:rsid w:val="00D07845"/>
    <w:rsid w:val="00D07A3E"/>
    <w:rsid w:val="00D07F67"/>
    <w:rsid w:val="00D10502"/>
    <w:rsid w:val="00D10872"/>
    <w:rsid w:val="00D10BC2"/>
    <w:rsid w:val="00D10FF9"/>
    <w:rsid w:val="00D11BA4"/>
    <w:rsid w:val="00D1214E"/>
    <w:rsid w:val="00D12B7A"/>
    <w:rsid w:val="00D1339D"/>
    <w:rsid w:val="00D1366B"/>
    <w:rsid w:val="00D1376D"/>
    <w:rsid w:val="00D142F6"/>
    <w:rsid w:val="00D145C5"/>
    <w:rsid w:val="00D14FC1"/>
    <w:rsid w:val="00D15143"/>
    <w:rsid w:val="00D15215"/>
    <w:rsid w:val="00D1605B"/>
    <w:rsid w:val="00D16E92"/>
    <w:rsid w:val="00D16F1F"/>
    <w:rsid w:val="00D16F96"/>
    <w:rsid w:val="00D17024"/>
    <w:rsid w:val="00D171D2"/>
    <w:rsid w:val="00D17D60"/>
    <w:rsid w:val="00D17EB8"/>
    <w:rsid w:val="00D20324"/>
    <w:rsid w:val="00D2061B"/>
    <w:rsid w:val="00D2063D"/>
    <w:rsid w:val="00D20F2C"/>
    <w:rsid w:val="00D210CC"/>
    <w:rsid w:val="00D21343"/>
    <w:rsid w:val="00D21769"/>
    <w:rsid w:val="00D21771"/>
    <w:rsid w:val="00D21965"/>
    <w:rsid w:val="00D2228E"/>
    <w:rsid w:val="00D226C6"/>
    <w:rsid w:val="00D229E5"/>
    <w:rsid w:val="00D22F7B"/>
    <w:rsid w:val="00D22FDB"/>
    <w:rsid w:val="00D23538"/>
    <w:rsid w:val="00D2373A"/>
    <w:rsid w:val="00D23872"/>
    <w:rsid w:val="00D23D36"/>
    <w:rsid w:val="00D24A67"/>
    <w:rsid w:val="00D25A08"/>
    <w:rsid w:val="00D26226"/>
    <w:rsid w:val="00D2691A"/>
    <w:rsid w:val="00D26A54"/>
    <w:rsid w:val="00D26E5A"/>
    <w:rsid w:val="00D271FF"/>
    <w:rsid w:val="00D27616"/>
    <w:rsid w:val="00D27775"/>
    <w:rsid w:val="00D27DA9"/>
    <w:rsid w:val="00D301A4"/>
    <w:rsid w:val="00D3049D"/>
    <w:rsid w:val="00D304EE"/>
    <w:rsid w:val="00D30715"/>
    <w:rsid w:val="00D30738"/>
    <w:rsid w:val="00D3099D"/>
    <w:rsid w:val="00D31B7D"/>
    <w:rsid w:val="00D3207B"/>
    <w:rsid w:val="00D3252E"/>
    <w:rsid w:val="00D32582"/>
    <w:rsid w:val="00D32CC6"/>
    <w:rsid w:val="00D32CE2"/>
    <w:rsid w:val="00D32F80"/>
    <w:rsid w:val="00D33038"/>
    <w:rsid w:val="00D3365C"/>
    <w:rsid w:val="00D337E5"/>
    <w:rsid w:val="00D33C3B"/>
    <w:rsid w:val="00D33CE3"/>
    <w:rsid w:val="00D34399"/>
    <w:rsid w:val="00D3486B"/>
    <w:rsid w:val="00D34896"/>
    <w:rsid w:val="00D34FCD"/>
    <w:rsid w:val="00D351F6"/>
    <w:rsid w:val="00D3544C"/>
    <w:rsid w:val="00D35520"/>
    <w:rsid w:val="00D35551"/>
    <w:rsid w:val="00D356EC"/>
    <w:rsid w:val="00D357DA"/>
    <w:rsid w:val="00D35AE9"/>
    <w:rsid w:val="00D36787"/>
    <w:rsid w:val="00D369BD"/>
    <w:rsid w:val="00D369F3"/>
    <w:rsid w:val="00D36A58"/>
    <w:rsid w:val="00D36DDA"/>
    <w:rsid w:val="00D370F2"/>
    <w:rsid w:val="00D37699"/>
    <w:rsid w:val="00D37B07"/>
    <w:rsid w:val="00D4011C"/>
    <w:rsid w:val="00D4048E"/>
    <w:rsid w:val="00D40578"/>
    <w:rsid w:val="00D408BF"/>
    <w:rsid w:val="00D40B52"/>
    <w:rsid w:val="00D415B0"/>
    <w:rsid w:val="00D41ECE"/>
    <w:rsid w:val="00D41F3D"/>
    <w:rsid w:val="00D423EA"/>
    <w:rsid w:val="00D427B1"/>
    <w:rsid w:val="00D429EC"/>
    <w:rsid w:val="00D42A7F"/>
    <w:rsid w:val="00D433B4"/>
    <w:rsid w:val="00D4370D"/>
    <w:rsid w:val="00D43B4E"/>
    <w:rsid w:val="00D43BB3"/>
    <w:rsid w:val="00D43D5F"/>
    <w:rsid w:val="00D440EF"/>
    <w:rsid w:val="00D4445C"/>
    <w:rsid w:val="00D44D56"/>
    <w:rsid w:val="00D45568"/>
    <w:rsid w:val="00D4587C"/>
    <w:rsid w:val="00D4605C"/>
    <w:rsid w:val="00D46088"/>
    <w:rsid w:val="00D46465"/>
    <w:rsid w:val="00D46860"/>
    <w:rsid w:val="00D46AD6"/>
    <w:rsid w:val="00D47056"/>
    <w:rsid w:val="00D4764A"/>
    <w:rsid w:val="00D47A8C"/>
    <w:rsid w:val="00D47B11"/>
    <w:rsid w:val="00D502B9"/>
    <w:rsid w:val="00D5030F"/>
    <w:rsid w:val="00D504E0"/>
    <w:rsid w:val="00D50A16"/>
    <w:rsid w:val="00D50BD7"/>
    <w:rsid w:val="00D50F33"/>
    <w:rsid w:val="00D5169D"/>
    <w:rsid w:val="00D5189C"/>
    <w:rsid w:val="00D51E51"/>
    <w:rsid w:val="00D51FF3"/>
    <w:rsid w:val="00D521C7"/>
    <w:rsid w:val="00D5246E"/>
    <w:rsid w:val="00D52669"/>
    <w:rsid w:val="00D52734"/>
    <w:rsid w:val="00D527BE"/>
    <w:rsid w:val="00D52B04"/>
    <w:rsid w:val="00D53179"/>
    <w:rsid w:val="00D53596"/>
    <w:rsid w:val="00D53868"/>
    <w:rsid w:val="00D53895"/>
    <w:rsid w:val="00D53BAC"/>
    <w:rsid w:val="00D53EFF"/>
    <w:rsid w:val="00D5443E"/>
    <w:rsid w:val="00D54584"/>
    <w:rsid w:val="00D5466D"/>
    <w:rsid w:val="00D54CAB"/>
    <w:rsid w:val="00D54E31"/>
    <w:rsid w:val="00D54E6C"/>
    <w:rsid w:val="00D55AB1"/>
    <w:rsid w:val="00D55F5A"/>
    <w:rsid w:val="00D5669E"/>
    <w:rsid w:val="00D569C2"/>
    <w:rsid w:val="00D574EB"/>
    <w:rsid w:val="00D578FC"/>
    <w:rsid w:val="00D57ADB"/>
    <w:rsid w:val="00D605F4"/>
    <w:rsid w:val="00D60A30"/>
    <w:rsid w:val="00D60D1B"/>
    <w:rsid w:val="00D60F0E"/>
    <w:rsid w:val="00D60FBC"/>
    <w:rsid w:val="00D6119A"/>
    <w:rsid w:val="00D61386"/>
    <w:rsid w:val="00D619B8"/>
    <w:rsid w:val="00D61D35"/>
    <w:rsid w:val="00D62261"/>
    <w:rsid w:val="00D6296E"/>
    <w:rsid w:val="00D63877"/>
    <w:rsid w:val="00D6391A"/>
    <w:rsid w:val="00D6399E"/>
    <w:rsid w:val="00D63B83"/>
    <w:rsid w:val="00D63BD9"/>
    <w:rsid w:val="00D64D26"/>
    <w:rsid w:val="00D64F1D"/>
    <w:rsid w:val="00D64F9B"/>
    <w:rsid w:val="00D650A1"/>
    <w:rsid w:val="00D652B9"/>
    <w:rsid w:val="00D65FAF"/>
    <w:rsid w:val="00D65FD5"/>
    <w:rsid w:val="00D660A6"/>
    <w:rsid w:val="00D66585"/>
    <w:rsid w:val="00D66664"/>
    <w:rsid w:val="00D668AE"/>
    <w:rsid w:val="00D6692F"/>
    <w:rsid w:val="00D66A29"/>
    <w:rsid w:val="00D670BA"/>
    <w:rsid w:val="00D67599"/>
    <w:rsid w:val="00D67692"/>
    <w:rsid w:val="00D676E7"/>
    <w:rsid w:val="00D678BD"/>
    <w:rsid w:val="00D67B70"/>
    <w:rsid w:val="00D67D12"/>
    <w:rsid w:val="00D706B0"/>
    <w:rsid w:val="00D70874"/>
    <w:rsid w:val="00D70968"/>
    <w:rsid w:val="00D70D90"/>
    <w:rsid w:val="00D70DBD"/>
    <w:rsid w:val="00D71A53"/>
    <w:rsid w:val="00D71A85"/>
    <w:rsid w:val="00D721F9"/>
    <w:rsid w:val="00D72217"/>
    <w:rsid w:val="00D72B0D"/>
    <w:rsid w:val="00D72CCA"/>
    <w:rsid w:val="00D72F41"/>
    <w:rsid w:val="00D73506"/>
    <w:rsid w:val="00D73658"/>
    <w:rsid w:val="00D73B0E"/>
    <w:rsid w:val="00D73FEF"/>
    <w:rsid w:val="00D7449D"/>
    <w:rsid w:val="00D7463F"/>
    <w:rsid w:val="00D7479B"/>
    <w:rsid w:val="00D74D37"/>
    <w:rsid w:val="00D7540E"/>
    <w:rsid w:val="00D76422"/>
    <w:rsid w:val="00D764BB"/>
    <w:rsid w:val="00D777FC"/>
    <w:rsid w:val="00D7797F"/>
    <w:rsid w:val="00D779E7"/>
    <w:rsid w:val="00D80081"/>
    <w:rsid w:val="00D80086"/>
    <w:rsid w:val="00D80387"/>
    <w:rsid w:val="00D8053E"/>
    <w:rsid w:val="00D805A6"/>
    <w:rsid w:val="00D8189B"/>
    <w:rsid w:val="00D82125"/>
    <w:rsid w:val="00D82365"/>
    <w:rsid w:val="00D8248E"/>
    <w:rsid w:val="00D82660"/>
    <w:rsid w:val="00D82E9E"/>
    <w:rsid w:val="00D8317E"/>
    <w:rsid w:val="00D83306"/>
    <w:rsid w:val="00D8338F"/>
    <w:rsid w:val="00D83625"/>
    <w:rsid w:val="00D83844"/>
    <w:rsid w:val="00D841A6"/>
    <w:rsid w:val="00D8434A"/>
    <w:rsid w:val="00D849DA"/>
    <w:rsid w:val="00D84A84"/>
    <w:rsid w:val="00D84BE3"/>
    <w:rsid w:val="00D85422"/>
    <w:rsid w:val="00D85807"/>
    <w:rsid w:val="00D858FA"/>
    <w:rsid w:val="00D862EE"/>
    <w:rsid w:val="00D8682A"/>
    <w:rsid w:val="00D86A6C"/>
    <w:rsid w:val="00D86E3D"/>
    <w:rsid w:val="00D86F8F"/>
    <w:rsid w:val="00D87622"/>
    <w:rsid w:val="00D8763B"/>
    <w:rsid w:val="00D8765E"/>
    <w:rsid w:val="00D87AAB"/>
    <w:rsid w:val="00D87CAA"/>
    <w:rsid w:val="00D87E51"/>
    <w:rsid w:val="00D87EDF"/>
    <w:rsid w:val="00D87F92"/>
    <w:rsid w:val="00D901A1"/>
    <w:rsid w:val="00D902E8"/>
    <w:rsid w:val="00D91003"/>
    <w:rsid w:val="00D913C6"/>
    <w:rsid w:val="00D91473"/>
    <w:rsid w:val="00D9154B"/>
    <w:rsid w:val="00D91574"/>
    <w:rsid w:val="00D91895"/>
    <w:rsid w:val="00D918C8"/>
    <w:rsid w:val="00D91B4C"/>
    <w:rsid w:val="00D91D3F"/>
    <w:rsid w:val="00D91F2C"/>
    <w:rsid w:val="00D92A87"/>
    <w:rsid w:val="00D92F4B"/>
    <w:rsid w:val="00D9307A"/>
    <w:rsid w:val="00D932A0"/>
    <w:rsid w:val="00D93300"/>
    <w:rsid w:val="00D93B53"/>
    <w:rsid w:val="00D93CF5"/>
    <w:rsid w:val="00D945C1"/>
    <w:rsid w:val="00D94949"/>
    <w:rsid w:val="00D949FB"/>
    <w:rsid w:val="00D94B25"/>
    <w:rsid w:val="00D95829"/>
    <w:rsid w:val="00D95B3C"/>
    <w:rsid w:val="00D962AB"/>
    <w:rsid w:val="00D96ABD"/>
    <w:rsid w:val="00D96D66"/>
    <w:rsid w:val="00D9704C"/>
    <w:rsid w:val="00D970AC"/>
    <w:rsid w:val="00DA0F74"/>
    <w:rsid w:val="00DA1BA8"/>
    <w:rsid w:val="00DA1E83"/>
    <w:rsid w:val="00DA2329"/>
    <w:rsid w:val="00DA2580"/>
    <w:rsid w:val="00DA2899"/>
    <w:rsid w:val="00DA29D0"/>
    <w:rsid w:val="00DA2B6A"/>
    <w:rsid w:val="00DA36D5"/>
    <w:rsid w:val="00DA3735"/>
    <w:rsid w:val="00DA3E6C"/>
    <w:rsid w:val="00DA3EA6"/>
    <w:rsid w:val="00DA5015"/>
    <w:rsid w:val="00DA546B"/>
    <w:rsid w:val="00DA546D"/>
    <w:rsid w:val="00DA583C"/>
    <w:rsid w:val="00DA5CEC"/>
    <w:rsid w:val="00DA668B"/>
    <w:rsid w:val="00DA6CC3"/>
    <w:rsid w:val="00DA6D63"/>
    <w:rsid w:val="00DA74B3"/>
    <w:rsid w:val="00DA78BC"/>
    <w:rsid w:val="00DA7A72"/>
    <w:rsid w:val="00DB0983"/>
    <w:rsid w:val="00DB0FCE"/>
    <w:rsid w:val="00DB12E1"/>
    <w:rsid w:val="00DB1CDC"/>
    <w:rsid w:val="00DB2199"/>
    <w:rsid w:val="00DB21D9"/>
    <w:rsid w:val="00DB243C"/>
    <w:rsid w:val="00DB2537"/>
    <w:rsid w:val="00DB2783"/>
    <w:rsid w:val="00DB2A6D"/>
    <w:rsid w:val="00DB2B40"/>
    <w:rsid w:val="00DB2F7A"/>
    <w:rsid w:val="00DB318F"/>
    <w:rsid w:val="00DB3AEC"/>
    <w:rsid w:val="00DB3D78"/>
    <w:rsid w:val="00DB4353"/>
    <w:rsid w:val="00DB47F0"/>
    <w:rsid w:val="00DB4C62"/>
    <w:rsid w:val="00DB5253"/>
    <w:rsid w:val="00DB528E"/>
    <w:rsid w:val="00DB59A0"/>
    <w:rsid w:val="00DB5A7A"/>
    <w:rsid w:val="00DB5F5A"/>
    <w:rsid w:val="00DB6513"/>
    <w:rsid w:val="00DB65DB"/>
    <w:rsid w:val="00DB65FC"/>
    <w:rsid w:val="00DB686A"/>
    <w:rsid w:val="00DB70B4"/>
    <w:rsid w:val="00DB7238"/>
    <w:rsid w:val="00DB7605"/>
    <w:rsid w:val="00DB7AC6"/>
    <w:rsid w:val="00DC02F4"/>
    <w:rsid w:val="00DC1B52"/>
    <w:rsid w:val="00DC1EFC"/>
    <w:rsid w:val="00DC2066"/>
    <w:rsid w:val="00DC21A9"/>
    <w:rsid w:val="00DC2D7F"/>
    <w:rsid w:val="00DC349C"/>
    <w:rsid w:val="00DC3AC5"/>
    <w:rsid w:val="00DC45FD"/>
    <w:rsid w:val="00DC4763"/>
    <w:rsid w:val="00DC48A2"/>
    <w:rsid w:val="00DC4BAE"/>
    <w:rsid w:val="00DC50E3"/>
    <w:rsid w:val="00DC51E8"/>
    <w:rsid w:val="00DC5339"/>
    <w:rsid w:val="00DC58C8"/>
    <w:rsid w:val="00DC5DB2"/>
    <w:rsid w:val="00DC6653"/>
    <w:rsid w:val="00DC670F"/>
    <w:rsid w:val="00DC6E28"/>
    <w:rsid w:val="00DC706B"/>
    <w:rsid w:val="00DC7078"/>
    <w:rsid w:val="00DC725B"/>
    <w:rsid w:val="00DC7370"/>
    <w:rsid w:val="00DC73EF"/>
    <w:rsid w:val="00DD048D"/>
    <w:rsid w:val="00DD0C5D"/>
    <w:rsid w:val="00DD0D90"/>
    <w:rsid w:val="00DD106B"/>
    <w:rsid w:val="00DD15F5"/>
    <w:rsid w:val="00DD1B13"/>
    <w:rsid w:val="00DD1B7E"/>
    <w:rsid w:val="00DD1EE3"/>
    <w:rsid w:val="00DD2070"/>
    <w:rsid w:val="00DD25DF"/>
    <w:rsid w:val="00DD2622"/>
    <w:rsid w:val="00DD27A6"/>
    <w:rsid w:val="00DD2AEE"/>
    <w:rsid w:val="00DD2D00"/>
    <w:rsid w:val="00DD2D40"/>
    <w:rsid w:val="00DD2E03"/>
    <w:rsid w:val="00DD2E12"/>
    <w:rsid w:val="00DD3260"/>
    <w:rsid w:val="00DD33A4"/>
    <w:rsid w:val="00DD3B14"/>
    <w:rsid w:val="00DD3FC7"/>
    <w:rsid w:val="00DD4A20"/>
    <w:rsid w:val="00DD4C9A"/>
    <w:rsid w:val="00DD5195"/>
    <w:rsid w:val="00DD5347"/>
    <w:rsid w:val="00DD5B89"/>
    <w:rsid w:val="00DD5C64"/>
    <w:rsid w:val="00DD5FFB"/>
    <w:rsid w:val="00DD610D"/>
    <w:rsid w:val="00DD6199"/>
    <w:rsid w:val="00DD667A"/>
    <w:rsid w:val="00DD69ED"/>
    <w:rsid w:val="00DD6C3E"/>
    <w:rsid w:val="00DD6DA2"/>
    <w:rsid w:val="00DD7053"/>
    <w:rsid w:val="00DD728F"/>
    <w:rsid w:val="00DD7362"/>
    <w:rsid w:val="00DD7D72"/>
    <w:rsid w:val="00DE012A"/>
    <w:rsid w:val="00DE0179"/>
    <w:rsid w:val="00DE026B"/>
    <w:rsid w:val="00DE0CFC"/>
    <w:rsid w:val="00DE1094"/>
    <w:rsid w:val="00DE1477"/>
    <w:rsid w:val="00DE1493"/>
    <w:rsid w:val="00DE179D"/>
    <w:rsid w:val="00DE1B95"/>
    <w:rsid w:val="00DE2853"/>
    <w:rsid w:val="00DE29F8"/>
    <w:rsid w:val="00DE2B47"/>
    <w:rsid w:val="00DE3B6E"/>
    <w:rsid w:val="00DE4239"/>
    <w:rsid w:val="00DE4377"/>
    <w:rsid w:val="00DE47D2"/>
    <w:rsid w:val="00DE4B68"/>
    <w:rsid w:val="00DE4D86"/>
    <w:rsid w:val="00DE4DA4"/>
    <w:rsid w:val="00DE4FF7"/>
    <w:rsid w:val="00DE5E1E"/>
    <w:rsid w:val="00DE5F98"/>
    <w:rsid w:val="00DE627E"/>
    <w:rsid w:val="00DE62C5"/>
    <w:rsid w:val="00DE6517"/>
    <w:rsid w:val="00DE6A4C"/>
    <w:rsid w:val="00DE6B82"/>
    <w:rsid w:val="00DE6C71"/>
    <w:rsid w:val="00DE6F81"/>
    <w:rsid w:val="00DE714E"/>
    <w:rsid w:val="00DE7860"/>
    <w:rsid w:val="00DF0022"/>
    <w:rsid w:val="00DF0524"/>
    <w:rsid w:val="00DF057D"/>
    <w:rsid w:val="00DF073B"/>
    <w:rsid w:val="00DF0C11"/>
    <w:rsid w:val="00DF0D01"/>
    <w:rsid w:val="00DF0D14"/>
    <w:rsid w:val="00DF0D96"/>
    <w:rsid w:val="00DF0DB2"/>
    <w:rsid w:val="00DF13D3"/>
    <w:rsid w:val="00DF13DF"/>
    <w:rsid w:val="00DF1A9D"/>
    <w:rsid w:val="00DF1E8B"/>
    <w:rsid w:val="00DF24BF"/>
    <w:rsid w:val="00DF2659"/>
    <w:rsid w:val="00DF32A4"/>
    <w:rsid w:val="00DF32B1"/>
    <w:rsid w:val="00DF39DB"/>
    <w:rsid w:val="00DF3AAD"/>
    <w:rsid w:val="00DF3F8D"/>
    <w:rsid w:val="00DF46E5"/>
    <w:rsid w:val="00DF4B93"/>
    <w:rsid w:val="00DF5354"/>
    <w:rsid w:val="00DF5D0F"/>
    <w:rsid w:val="00DF5E60"/>
    <w:rsid w:val="00DF63D3"/>
    <w:rsid w:val="00DF6A35"/>
    <w:rsid w:val="00DF6A90"/>
    <w:rsid w:val="00DF719F"/>
    <w:rsid w:val="00DF73E1"/>
    <w:rsid w:val="00DF7408"/>
    <w:rsid w:val="00DF78D7"/>
    <w:rsid w:val="00DF7E03"/>
    <w:rsid w:val="00DF7EE8"/>
    <w:rsid w:val="00E001F9"/>
    <w:rsid w:val="00E00401"/>
    <w:rsid w:val="00E00555"/>
    <w:rsid w:val="00E005BD"/>
    <w:rsid w:val="00E00671"/>
    <w:rsid w:val="00E01196"/>
    <w:rsid w:val="00E016C1"/>
    <w:rsid w:val="00E01C34"/>
    <w:rsid w:val="00E01F16"/>
    <w:rsid w:val="00E01F5F"/>
    <w:rsid w:val="00E0217A"/>
    <w:rsid w:val="00E02563"/>
    <w:rsid w:val="00E026C7"/>
    <w:rsid w:val="00E02E86"/>
    <w:rsid w:val="00E0305D"/>
    <w:rsid w:val="00E033FD"/>
    <w:rsid w:val="00E0355C"/>
    <w:rsid w:val="00E036E3"/>
    <w:rsid w:val="00E038F7"/>
    <w:rsid w:val="00E03C67"/>
    <w:rsid w:val="00E03DB7"/>
    <w:rsid w:val="00E04658"/>
    <w:rsid w:val="00E047C7"/>
    <w:rsid w:val="00E04F10"/>
    <w:rsid w:val="00E0524B"/>
    <w:rsid w:val="00E052B0"/>
    <w:rsid w:val="00E05B68"/>
    <w:rsid w:val="00E05C9D"/>
    <w:rsid w:val="00E06214"/>
    <w:rsid w:val="00E067DC"/>
    <w:rsid w:val="00E0694F"/>
    <w:rsid w:val="00E06994"/>
    <w:rsid w:val="00E07036"/>
    <w:rsid w:val="00E07A7C"/>
    <w:rsid w:val="00E07B66"/>
    <w:rsid w:val="00E07C27"/>
    <w:rsid w:val="00E07E17"/>
    <w:rsid w:val="00E100FC"/>
    <w:rsid w:val="00E10694"/>
    <w:rsid w:val="00E11B23"/>
    <w:rsid w:val="00E1210D"/>
    <w:rsid w:val="00E12871"/>
    <w:rsid w:val="00E1291A"/>
    <w:rsid w:val="00E1294F"/>
    <w:rsid w:val="00E129EF"/>
    <w:rsid w:val="00E12F57"/>
    <w:rsid w:val="00E141E7"/>
    <w:rsid w:val="00E14213"/>
    <w:rsid w:val="00E1496B"/>
    <w:rsid w:val="00E14B6D"/>
    <w:rsid w:val="00E15459"/>
    <w:rsid w:val="00E15D74"/>
    <w:rsid w:val="00E15F58"/>
    <w:rsid w:val="00E160AC"/>
    <w:rsid w:val="00E160C6"/>
    <w:rsid w:val="00E16548"/>
    <w:rsid w:val="00E16619"/>
    <w:rsid w:val="00E1761F"/>
    <w:rsid w:val="00E17AF1"/>
    <w:rsid w:val="00E21353"/>
    <w:rsid w:val="00E2161D"/>
    <w:rsid w:val="00E2259C"/>
    <w:rsid w:val="00E225FE"/>
    <w:rsid w:val="00E227F1"/>
    <w:rsid w:val="00E2334F"/>
    <w:rsid w:val="00E23556"/>
    <w:rsid w:val="00E235B6"/>
    <w:rsid w:val="00E235D7"/>
    <w:rsid w:val="00E2378B"/>
    <w:rsid w:val="00E23B88"/>
    <w:rsid w:val="00E24630"/>
    <w:rsid w:val="00E26283"/>
    <w:rsid w:val="00E26AC5"/>
    <w:rsid w:val="00E2736B"/>
    <w:rsid w:val="00E2740C"/>
    <w:rsid w:val="00E27560"/>
    <w:rsid w:val="00E279C7"/>
    <w:rsid w:val="00E27BD0"/>
    <w:rsid w:val="00E27E9C"/>
    <w:rsid w:val="00E27F13"/>
    <w:rsid w:val="00E304FF"/>
    <w:rsid w:val="00E3056E"/>
    <w:rsid w:val="00E30850"/>
    <w:rsid w:val="00E308D0"/>
    <w:rsid w:val="00E30B67"/>
    <w:rsid w:val="00E30DC8"/>
    <w:rsid w:val="00E31523"/>
    <w:rsid w:val="00E32135"/>
    <w:rsid w:val="00E33164"/>
    <w:rsid w:val="00E3368E"/>
    <w:rsid w:val="00E336D5"/>
    <w:rsid w:val="00E337D9"/>
    <w:rsid w:val="00E33B20"/>
    <w:rsid w:val="00E33F9B"/>
    <w:rsid w:val="00E34136"/>
    <w:rsid w:val="00E345B1"/>
    <w:rsid w:val="00E345B6"/>
    <w:rsid w:val="00E34E7B"/>
    <w:rsid w:val="00E35140"/>
    <w:rsid w:val="00E35199"/>
    <w:rsid w:val="00E35884"/>
    <w:rsid w:val="00E3635F"/>
    <w:rsid w:val="00E3656C"/>
    <w:rsid w:val="00E36B06"/>
    <w:rsid w:val="00E37271"/>
    <w:rsid w:val="00E37A9B"/>
    <w:rsid w:val="00E37D68"/>
    <w:rsid w:val="00E4008F"/>
    <w:rsid w:val="00E40245"/>
    <w:rsid w:val="00E403F4"/>
    <w:rsid w:val="00E40684"/>
    <w:rsid w:val="00E406CE"/>
    <w:rsid w:val="00E40D9E"/>
    <w:rsid w:val="00E41A15"/>
    <w:rsid w:val="00E41AAA"/>
    <w:rsid w:val="00E41BE0"/>
    <w:rsid w:val="00E41C1A"/>
    <w:rsid w:val="00E427A3"/>
    <w:rsid w:val="00E4284B"/>
    <w:rsid w:val="00E42F78"/>
    <w:rsid w:val="00E432D8"/>
    <w:rsid w:val="00E43907"/>
    <w:rsid w:val="00E43C71"/>
    <w:rsid w:val="00E43E59"/>
    <w:rsid w:val="00E44B3A"/>
    <w:rsid w:val="00E44B83"/>
    <w:rsid w:val="00E45502"/>
    <w:rsid w:val="00E460B2"/>
    <w:rsid w:val="00E46310"/>
    <w:rsid w:val="00E46564"/>
    <w:rsid w:val="00E46C66"/>
    <w:rsid w:val="00E4761A"/>
    <w:rsid w:val="00E47CFC"/>
    <w:rsid w:val="00E50007"/>
    <w:rsid w:val="00E50F98"/>
    <w:rsid w:val="00E51BEC"/>
    <w:rsid w:val="00E51D30"/>
    <w:rsid w:val="00E51E53"/>
    <w:rsid w:val="00E524F4"/>
    <w:rsid w:val="00E52C50"/>
    <w:rsid w:val="00E5351A"/>
    <w:rsid w:val="00E53D16"/>
    <w:rsid w:val="00E53F33"/>
    <w:rsid w:val="00E54346"/>
    <w:rsid w:val="00E5455D"/>
    <w:rsid w:val="00E546AD"/>
    <w:rsid w:val="00E54A2A"/>
    <w:rsid w:val="00E54D87"/>
    <w:rsid w:val="00E5598F"/>
    <w:rsid w:val="00E55A0B"/>
    <w:rsid w:val="00E55B00"/>
    <w:rsid w:val="00E55B90"/>
    <w:rsid w:val="00E55E12"/>
    <w:rsid w:val="00E55E85"/>
    <w:rsid w:val="00E55EB4"/>
    <w:rsid w:val="00E56042"/>
    <w:rsid w:val="00E56121"/>
    <w:rsid w:val="00E563B7"/>
    <w:rsid w:val="00E56535"/>
    <w:rsid w:val="00E566B4"/>
    <w:rsid w:val="00E568C2"/>
    <w:rsid w:val="00E56A10"/>
    <w:rsid w:val="00E56CB0"/>
    <w:rsid w:val="00E56D57"/>
    <w:rsid w:val="00E606E6"/>
    <w:rsid w:val="00E60813"/>
    <w:rsid w:val="00E608F4"/>
    <w:rsid w:val="00E60FFD"/>
    <w:rsid w:val="00E613D9"/>
    <w:rsid w:val="00E61740"/>
    <w:rsid w:val="00E6189A"/>
    <w:rsid w:val="00E61988"/>
    <w:rsid w:val="00E61C33"/>
    <w:rsid w:val="00E61EDA"/>
    <w:rsid w:val="00E6258D"/>
    <w:rsid w:val="00E626A0"/>
    <w:rsid w:val="00E62704"/>
    <w:rsid w:val="00E62A0B"/>
    <w:rsid w:val="00E62C59"/>
    <w:rsid w:val="00E62FAD"/>
    <w:rsid w:val="00E63391"/>
    <w:rsid w:val="00E63DDE"/>
    <w:rsid w:val="00E63FFA"/>
    <w:rsid w:val="00E6427B"/>
    <w:rsid w:val="00E6429D"/>
    <w:rsid w:val="00E64BA7"/>
    <w:rsid w:val="00E64D8D"/>
    <w:rsid w:val="00E64E18"/>
    <w:rsid w:val="00E64F87"/>
    <w:rsid w:val="00E65253"/>
    <w:rsid w:val="00E658DE"/>
    <w:rsid w:val="00E65E9C"/>
    <w:rsid w:val="00E66025"/>
    <w:rsid w:val="00E660EA"/>
    <w:rsid w:val="00E664E4"/>
    <w:rsid w:val="00E66863"/>
    <w:rsid w:val="00E66ADA"/>
    <w:rsid w:val="00E673E0"/>
    <w:rsid w:val="00E67565"/>
    <w:rsid w:val="00E67592"/>
    <w:rsid w:val="00E7000C"/>
    <w:rsid w:val="00E70043"/>
    <w:rsid w:val="00E7030D"/>
    <w:rsid w:val="00E7078F"/>
    <w:rsid w:val="00E70818"/>
    <w:rsid w:val="00E70D3E"/>
    <w:rsid w:val="00E727E1"/>
    <w:rsid w:val="00E72A63"/>
    <w:rsid w:val="00E72B72"/>
    <w:rsid w:val="00E72D57"/>
    <w:rsid w:val="00E73590"/>
    <w:rsid w:val="00E73D84"/>
    <w:rsid w:val="00E74071"/>
    <w:rsid w:val="00E749B2"/>
    <w:rsid w:val="00E75AF8"/>
    <w:rsid w:val="00E75E4D"/>
    <w:rsid w:val="00E75F06"/>
    <w:rsid w:val="00E7659E"/>
    <w:rsid w:val="00E7678C"/>
    <w:rsid w:val="00E76DD8"/>
    <w:rsid w:val="00E76E8B"/>
    <w:rsid w:val="00E7721B"/>
    <w:rsid w:val="00E7761B"/>
    <w:rsid w:val="00E7769C"/>
    <w:rsid w:val="00E77D69"/>
    <w:rsid w:val="00E77ECE"/>
    <w:rsid w:val="00E77FA0"/>
    <w:rsid w:val="00E80002"/>
    <w:rsid w:val="00E8051B"/>
    <w:rsid w:val="00E80826"/>
    <w:rsid w:val="00E80E1B"/>
    <w:rsid w:val="00E810DD"/>
    <w:rsid w:val="00E813B8"/>
    <w:rsid w:val="00E8184C"/>
    <w:rsid w:val="00E81BDA"/>
    <w:rsid w:val="00E81DCD"/>
    <w:rsid w:val="00E8229D"/>
    <w:rsid w:val="00E82796"/>
    <w:rsid w:val="00E82D26"/>
    <w:rsid w:val="00E82E2F"/>
    <w:rsid w:val="00E836DE"/>
    <w:rsid w:val="00E838F4"/>
    <w:rsid w:val="00E8402D"/>
    <w:rsid w:val="00E84979"/>
    <w:rsid w:val="00E84BA5"/>
    <w:rsid w:val="00E85296"/>
    <w:rsid w:val="00E852B4"/>
    <w:rsid w:val="00E85A6D"/>
    <w:rsid w:val="00E85CF8"/>
    <w:rsid w:val="00E85DBE"/>
    <w:rsid w:val="00E87005"/>
    <w:rsid w:val="00E875EA"/>
    <w:rsid w:val="00E878C9"/>
    <w:rsid w:val="00E87BDA"/>
    <w:rsid w:val="00E87C5D"/>
    <w:rsid w:val="00E87FB7"/>
    <w:rsid w:val="00E90169"/>
    <w:rsid w:val="00E902B4"/>
    <w:rsid w:val="00E905F7"/>
    <w:rsid w:val="00E908C1"/>
    <w:rsid w:val="00E90BAE"/>
    <w:rsid w:val="00E90EC4"/>
    <w:rsid w:val="00E914D0"/>
    <w:rsid w:val="00E91591"/>
    <w:rsid w:val="00E91931"/>
    <w:rsid w:val="00E91BA4"/>
    <w:rsid w:val="00E91D40"/>
    <w:rsid w:val="00E91D92"/>
    <w:rsid w:val="00E91EA9"/>
    <w:rsid w:val="00E92233"/>
    <w:rsid w:val="00E92521"/>
    <w:rsid w:val="00E92C57"/>
    <w:rsid w:val="00E931C4"/>
    <w:rsid w:val="00E9355D"/>
    <w:rsid w:val="00E9379E"/>
    <w:rsid w:val="00E9392E"/>
    <w:rsid w:val="00E93AD2"/>
    <w:rsid w:val="00E94005"/>
    <w:rsid w:val="00E95140"/>
    <w:rsid w:val="00E95775"/>
    <w:rsid w:val="00E95921"/>
    <w:rsid w:val="00E96883"/>
    <w:rsid w:val="00E972A8"/>
    <w:rsid w:val="00E97A35"/>
    <w:rsid w:val="00EA0017"/>
    <w:rsid w:val="00EA0157"/>
    <w:rsid w:val="00EA0D0B"/>
    <w:rsid w:val="00EA1118"/>
    <w:rsid w:val="00EA12DB"/>
    <w:rsid w:val="00EA15E3"/>
    <w:rsid w:val="00EA1A03"/>
    <w:rsid w:val="00EA2790"/>
    <w:rsid w:val="00EA289D"/>
    <w:rsid w:val="00EA2ACF"/>
    <w:rsid w:val="00EA2F0F"/>
    <w:rsid w:val="00EA3752"/>
    <w:rsid w:val="00EA38F1"/>
    <w:rsid w:val="00EA46E8"/>
    <w:rsid w:val="00EA521B"/>
    <w:rsid w:val="00EA5396"/>
    <w:rsid w:val="00EA53F9"/>
    <w:rsid w:val="00EA554F"/>
    <w:rsid w:val="00EA580D"/>
    <w:rsid w:val="00EA5824"/>
    <w:rsid w:val="00EA5931"/>
    <w:rsid w:val="00EA5C36"/>
    <w:rsid w:val="00EA6020"/>
    <w:rsid w:val="00EA61FC"/>
    <w:rsid w:val="00EA642F"/>
    <w:rsid w:val="00EA647B"/>
    <w:rsid w:val="00EA6574"/>
    <w:rsid w:val="00EA6909"/>
    <w:rsid w:val="00EA6E15"/>
    <w:rsid w:val="00EA7127"/>
    <w:rsid w:val="00EA734B"/>
    <w:rsid w:val="00EA78B1"/>
    <w:rsid w:val="00EA7A43"/>
    <w:rsid w:val="00EA7C31"/>
    <w:rsid w:val="00EA7C64"/>
    <w:rsid w:val="00EB03F3"/>
    <w:rsid w:val="00EB0768"/>
    <w:rsid w:val="00EB0871"/>
    <w:rsid w:val="00EB08CF"/>
    <w:rsid w:val="00EB0B59"/>
    <w:rsid w:val="00EB1D5F"/>
    <w:rsid w:val="00EB1E85"/>
    <w:rsid w:val="00EB20B9"/>
    <w:rsid w:val="00EB2324"/>
    <w:rsid w:val="00EB298C"/>
    <w:rsid w:val="00EB32E8"/>
    <w:rsid w:val="00EB383D"/>
    <w:rsid w:val="00EB4016"/>
    <w:rsid w:val="00EB41F3"/>
    <w:rsid w:val="00EB42F7"/>
    <w:rsid w:val="00EB4A87"/>
    <w:rsid w:val="00EB4F2C"/>
    <w:rsid w:val="00EB5412"/>
    <w:rsid w:val="00EB54CE"/>
    <w:rsid w:val="00EB62DA"/>
    <w:rsid w:val="00EB67B4"/>
    <w:rsid w:val="00EB694A"/>
    <w:rsid w:val="00EB6C85"/>
    <w:rsid w:val="00EB6E71"/>
    <w:rsid w:val="00EB6F57"/>
    <w:rsid w:val="00EB765D"/>
    <w:rsid w:val="00EB7874"/>
    <w:rsid w:val="00EB7989"/>
    <w:rsid w:val="00EB7991"/>
    <w:rsid w:val="00EC0094"/>
    <w:rsid w:val="00EC0225"/>
    <w:rsid w:val="00EC0574"/>
    <w:rsid w:val="00EC0722"/>
    <w:rsid w:val="00EC08B1"/>
    <w:rsid w:val="00EC099A"/>
    <w:rsid w:val="00EC0AEF"/>
    <w:rsid w:val="00EC0D1C"/>
    <w:rsid w:val="00EC0E1B"/>
    <w:rsid w:val="00EC12F2"/>
    <w:rsid w:val="00EC14DA"/>
    <w:rsid w:val="00EC18A7"/>
    <w:rsid w:val="00EC1A51"/>
    <w:rsid w:val="00EC2AB2"/>
    <w:rsid w:val="00EC2EED"/>
    <w:rsid w:val="00EC2FDF"/>
    <w:rsid w:val="00EC35DC"/>
    <w:rsid w:val="00EC3BA6"/>
    <w:rsid w:val="00EC4806"/>
    <w:rsid w:val="00EC4A49"/>
    <w:rsid w:val="00EC4AC3"/>
    <w:rsid w:val="00EC4CD3"/>
    <w:rsid w:val="00EC4D9D"/>
    <w:rsid w:val="00EC4EE9"/>
    <w:rsid w:val="00EC5DA8"/>
    <w:rsid w:val="00EC635F"/>
    <w:rsid w:val="00EC6774"/>
    <w:rsid w:val="00EC6DA4"/>
    <w:rsid w:val="00EC6F65"/>
    <w:rsid w:val="00EC752B"/>
    <w:rsid w:val="00EC7A79"/>
    <w:rsid w:val="00ED0082"/>
    <w:rsid w:val="00ED0E47"/>
    <w:rsid w:val="00ED141F"/>
    <w:rsid w:val="00ED264A"/>
    <w:rsid w:val="00ED2990"/>
    <w:rsid w:val="00ED2C7F"/>
    <w:rsid w:val="00ED3671"/>
    <w:rsid w:val="00ED3E72"/>
    <w:rsid w:val="00ED3F98"/>
    <w:rsid w:val="00ED43DF"/>
    <w:rsid w:val="00ED4C7F"/>
    <w:rsid w:val="00ED4E04"/>
    <w:rsid w:val="00ED4FBA"/>
    <w:rsid w:val="00ED5020"/>
    <w:rsid w:val="00ED52D4"/>
    <w:rsid w:val="00ED5D1C"/>
    <w:rsid w:val="00ED5F2E"/>
    <w:rsid w:val="00ED6E80"/>
    <w:rsid w:val="00ED6F50"/>
    <w:rsid w:val="00ED70A1"/>
    <w:rsid w:val="00ED72E1"/>
    <w:rsid w:val="00ED7D22"/>
    <w:rsid w:val="00EE0119"/>
    <w:rsid w:val="00EE0A01"/>
    <w:rsid w:val="00EE0C82"/>
    <w:rsid w:val="00EE0E3B"/>
    <w:rsid w:val="00EE0FCD"/>
    <w:rsid w:val="00EE1259"/>
    <w:rsid w:val="00EE2079"/>
    <w:rsid w:val="00EE29EC"/>
    <w:rsid w:val="00EE33E6"/>
    <w:rsid w:val="00EE3651"/>
    <w:rsid w:val="00EE3874"/>
    <w:rsid w:val="00EE3E20"/>
    <w:rsid w:val="00EE4023"/>
    <w:rsid w:val="00EE45F7"/>
    <w:rsid w:val="00EE4D71"/>
    <w:rsid w:val="00EE4DF7"/>
    <w:rsid w:val="00EE4F9E"/>
    <w:rsid w:val="00EE4FAF"/>
    <w:rsid w:val="00EE539B"/>
    <w:rsid w:val="00EE54E1"/>
    <w:rsid w:val="00EE5574"/>
    <w:rsid w:val="00EE5D3E"/>
    <w:rsid w:val="00EE6194"/>
    <w:rsid w:val="00EE6604"/>
    <w:rsid w:val="00EE6D4F"/>
    <w:rsid w:val="00EE7A75"/>
    <w:rsid w:val="00EE7D59"/>
    <w:rsid w:val="00EF06D3"/>
    <w:rsid w:val="00EF08D0"/>
    <w:rsid w:val="00EF0938"/>
    <w:rsid w:val="00EF0A25"/>
    <w:rsid w:val="00EF13CF"/>
    <w:rsid w:val="00EF1555"/>
    <w:rsid w:val="00EF16DF"/>
    <w:rsid w:val="00EF1A95"/>
    <w:rsid w:val="00EF20CF"/>
    <w:rsid w:val="00EF252D"/>
    <w:rsid w:val="00EF260E"/>
    <w:rsid w:val="00EF293A"/>
    <w:rsid w:val="00EF2C82"/>
    <w:rsid w:val="00EF2CBB"/>
    <w:rsid w:val="00EF3A9D"/>
    <w:rsid w:val="00EF3EB7"/>
    <w:rsid w:val="00EF40F3"/>
    <w:rsid w:val="00EF4316"/>
    <w:rsid w:val="00EF4343"/>
    <w:rsid w:val="00EF494A"/>
    <w:rsid w:val="00EF4DFD"/>
    <w:rsid w:val="00EF53FB"/>
    <w:rsid w:val="00EF55A8"/>
    <w:rsid w:val="00EF56A1"/>
    <w:rsid w:val="00EF592A"/>
    <w:rsid w:val="00EF656C"/>
    <w:rsid w:val="00EF6BA5"/>
    <w:rsid w:val="00EF6D63"/>
    <w:rsid w:val="00EF703B"/>
    <w:rsid w:val="00EF750B"/>
    <w:rsid w:val="00EF7BFE"/>
    <w:rsid w:val="00F009FE"/>
    <w:rsid w:val="00F00A3D"/>
    <w:rsid w:val="00F00B1B"/>
    <w:rsid w:val="00F00E4D"/>
    <w:rsid w:val="00F0167A"/>
    <w:rsid w:val="00F01B24"/>
    <w:rsid w:val="00F01BCA"/>
    <w:rsid w:val="00F01DB0"/>
    <w:rsid w:val="00F02543"/>
    <w:rsid w:val="00F027C9"/>
    <w:rsid w:val="00F027CD"/>
    <w:rsid w:val="00F02BA7"/>
    <w:rsid w:val="00F02D03"/>
    <w:rsid w:val="00F030DF"/>
    <w:rsid w:val="00F03196"/>
    <w:rsid w:val="00F031ED"/>
    <w:rsid w:val="00F0372A"/>
    <w:rsid w:val="00F03C75"/>
    <w:rsid w:val="00F03DB8"/>
    <w:rsid w:val="00F03DF6"/>
    <w:rsid w:val="00F044CD"/>
    <w:rsid w:val="00F05C01"/>
    <w:rsid w:val="00F06037"/>
    <w:rsid w:val="00F0625F"/>
    <w:rsid w:val="00F069BF"/>
    <w:rsid w:val="00F06BED"/>
    <w:rsid w:val="00F07514"/>
    <w:rsid w:val="00F07D7E"/>
    <w:rsid w:val="00F07D8E"/>
    <w:rsid w:val="00F07E7B"/>
    <w:rsid w:val="00F10239"/>
    <w:rsid w:val="00F102AA"/>
    <w:rsid w:val="00F10C75"/>
    <w:rsid w:val="00F10D2B"/>
    <w:rsid w:val="00F115FB"/>
    <w:rsid w:val="00F11DC2"/>
    <w:rsid w:val="00F1203D"/>
    <w:rsid w:val="00F12187"/>
    <w:rsid w:val="00F1226B"/>
    <w:rsid w:val="00F12364"/>
    <w:rsid w:val="00F123C1"/>
    <w:rsid w:val="00F12955"/>
    <w:rsid w:val="00F12A9E"/>
    <w:rsid w:val="00F13104"/>
    <w:rsid w:val="00F131BD"/>
    <w:rsid w:val="00F13425"/>
    <w:rsid w:val="00F13CA5"/>
    <w:rsid w:val="00F13E4D"/>
    <w:rsid w:val="00F1444C"/>
    <w:rsid w:val="00F14459"/>
    <w:rsid w:val="00F14811"/>
    <w:rsid w:val="00F148D5"/>
    <w:rsid w:val="00F150F9"/>
    <w:rsid w:val="00F15167"/>
    <w:rsid w:val="00F15FF7"/>
    <w:rsid w:val="00F165D1"/>
    <w:rsid w:val="00F16A1D"/>
    <w:rsid w:val="00F16C97"/>
    <w:rsid w:val="00F17226"/>
    <w:rsid w:val="00F17609"/>
    <w:rsid w:val="00F17E4D"/>
    <w:rsid w:val="00F201A9"/>
    <w:rsid w:val="00F2054D"/>
    <w:rsid w:val="00F20757"/>
    <w:rsid w:val="00F20A48"/>
    <w:rsid w:val="00F20B60"/>
    <w:rsid w:val="00F210FA"/>
    <w:rsid w:val="00F22427"/>
    <w:rsid w:val="00F22491"/>
    <w:rsid w:val="00F22796"/>
    <w:rsid w:val="00F22A16"/>
    <w:rsid w:val="00F22CF3"/>
    <w:rsid w:val="00F22E57"/>
    <w:rsid w:val="00F234C5"/>
    <w:rsid w:val="00F23F6E"/>
    <w:rsid w:val="00F246D0"/>
    <w:rsid w:val="00F2518D"/>
    <w:rsid w:val="00F25373"/>
    <w:rsid w:val="00F25750"/>
    <w:rsid w:val="00F2596F"/>
    <w:rsid w:val="00F2602E"/>
    <w:rsid w:val="00F26289"/>
    <w:rsid w:val="00F267C8"/>
    <w:rsid w:val="00F27388"/>
    <w:rsid w:val="00F2778F"/>
    <w:rsid w:val="00F27B7C"/>
    <w:rsid w:val="00F30101"/>
    <w:rsid w:val="00F30CB8"/>
    <w:rsid w:val="00F30DBF"/>
    <w:rsid w:val="00F30EC4"/>
    <w:rsid w:val="00F31739"/>
    <w:rsid w:val="00F318D3"/>
    <w:rsid w:val="00F31BCC"/>
    <w:rsid w:val="00F31D7A"/>
    <w:rsid w:val="00F3208F"/>
    <w:rsid w:val="00F329FC"/>
    <w:rsid w:val="00F33853"/>
    <w:rsid w:val="00F33CA3"/>
    <w:rsid w:val="00F33E26"/>
    <w:rsid w:val="00F340D7"/>
    <w:rsid w:val="00F34192"/>
    <w:rsid w:val="00F34276"/>
    <w:rsid w:val="00F3442E"/>
    <w:rsid w:val="00F34464"/>
    <w:rsid w:val="00F34590"/>
    <w:rsid w:val="00F34B14"/>
    <w:rsid w:val="00F34C27"/>
    <w:rsid w:val="00F355D8"/>
    <w:rsid w:val="00F35877"/>
    <w:rsid w:val="00F36624"/>
    <w:rsid w:val="00F36D76"/>
    <w:rsid w:val="00F37166"/>
    <w:rsid w:val="00F376CB"/>
    <w:rsid w:val="00F37F86"/>
    <w:rsid w:val="00F404A9"/>
    <w:rsid w:val="00F40732"/>
    <w:rsid w:val="00F40910"/>
    <w:rsid w:val="00F40C5F"/>
    <w:rsid w:val="00F40C7B"/>
    <w:rsid w:val="00F40D7D"/>
    <w:rsid w:val="00F40F2D"/>
    <w:rsid w:val="00F4112D"/>
    <w:rsid w:val="00F415E7"/>
    <w:rsid w:val="00F418B2"/>
    <w:rsid w:val="00F422B1"/>
    <w:rsid w:val="00F425CD"/>
    <w:rsid w:val="00F42982"/>
    <w:rsid w:val="00F429B5"/>
    <w:rsid w:val="00F42C1D"/>
    <w:rsid w:val="00F42D9F"/>
    <w:rsid w:val="00F433AA"/>
    <w:rsid w:val="00F43749"/>
    <w:rsid w:val="00F437C9"/>
    <w:rsid w:val="00F439F7"/>
    <w:rsid w:val="00F44035"/>
    <w:rsid w:val="00F44831"/>
    <w:rsid w:val="00F44885"/>
    <w:rsid w:val="00F44970"/>
    <w:rsid w:val="00F44B61"/>
    <w:rsid w:val="00F44C11"/>
    <w:rsid w:val="00F454EA"/>
    <w:rsid w:val="00F45714"/>
    <w:rsid w:val="00F45DAF"/>
    <w:rsid w:val="00F46075"/>
    <w:rsid w:val="00F46AB7"/>
    <w:rsid w:val="00F47E1D"/>
    <w:rsid w:val="00F50637"/>
    <w:rsid w:val="00F51321"/>
    <w:rsid w:val="00F52B0A"/>
    <w:rsid w:val="00F52B8E"/>
    <w:rsid w:val="00F52EF1"/>
    <w:rsid w:val="00F52FFD"/>
    <w:rsid w:val="00F530C7"/>
    <w:rsid w:val="00F539B3"/>
    <w:rsid w:val="00F53BAD"/>
    <w:rsid w:val="00F54B14"/>
    <w:rsid w:val="00F54CA3"/>
    <w:rsid w:val="00F54DA0"/>
    <w:rsid w:val="00F5576D"/>
    <w:rsid w:val="00F560C5"/>
    <w:rsid w:val="00F56985"/>
    <w:rsid w:val="00F57381"/>
    <w:rsid w:val="00F57D84"/>
    <w:rsid w:val="00F57EDF"/>
    <w:rsid w:val="00F57F1F"/>
    <w:rsid w:val="00F600F6"/>
    <w:rsid w:val="00F60259"/>
    <w:rsid w:val="00F6033E"/>
    <w:rsid w:val="00F6061B"/>
    <w:rsid w:val="00F6074A"/>
    <w:rsid w:val="00F60A61"/>
    <w:rsid w:val="00F60B39"/>
    <w:rsid w:val="00F6174D"/>
    <w:rsid w:val="00F624EA"/>
    <w:rsid w:val="00F62DA9"/>
    <w:rsid w:val="00F6327D"/>
    <w:rsid w:val="00F63414"/>
    <w:rsid w:val="00F63443"/>
    <w:rsid w:val="00F63643"/>
    <w:rsid w:val="00F637DB"/>
    <w:rsid w:val="00F6389F"/>
    <w:rsid w:val="00F63D88"/>
    <w:rsid w:val="00F63F7F"/>
    <w:rsid w:val="00F642ED"/>
    <w:rsid w:val="00F64827"/>
    <w:rsid w:val="00F6504F"/>
    <w:rsid w:val="00F65189"/>
    <w:rsid w:val="00F65893"/>
    <w:rsid w:val="00F6627F"/>
    <w:rsid w:val="00F66E76"/>
    <w:rsid w:val="00F66EB1"/>
    <w:rsid w:val="00F67DA0"/>
    <w:rsid w:val="00F7033B"/>
    <w:rsid w:val="00F7040D"/>
    <w:rsid w:val="00F7085E"/>
    <w:rsid w:val="00F70931"/>
    <w:rsid w:val="00F711D5"/>
    <w:rsid w:val="00F716C9"/>
    <w:rsid w:val="00F71CD4"/>
    <w:rsid w:val="00F71E57"/>
    <w:rsid w:val="00F72185"/>
    <w:rsid w:val="00F72560"/>
    <w:rsid w:val="00F72651"/>
    <w:rsid w:val="00F72C16"/>
    <w:rsid w:val="00F72E49"/>
    <w:rsid w:val="00F72E8F"/>
    <w:rsid w:val="00F73591"/>
    <w:rsid w:val="00F73C59"/>
    <w:rsid w:val="00F74820"/>
    <w:rsid w:val="00F757AF"/>
    <w:rsid w:val="00F75B27"/>
    <w:rsid w:val="00F7626B"/>
    <w:rsid w:val="00F765DF"/>
    <w:rsid w:val="00F76602"/>
    <w:rsid w:val="00F76984"/>
    <w:rsid w:val="00F77A5E"/>
    <w:rsid w:val="00F80343"/>
    <w:rsid w:val="00F80561"/>
    <w:rsid w:val="00F80A85"/>
    <w:rsid w:val="00F80DC2"/>
    <w:rsid w:val="00F81562"/>
    <w:rsid w:val="00F819CD"/>
    <w:rsid w:val="00F81D61"/>
    <w:rsid w:val="00F81D97"/>
    <w:rsid w:val="00F82048"/>
    <w:rsid w:val="00F826A8"/>
    <w:rsid w:val="00F8299D"/>
    <w:rsid w:val="00F82DF9"/>
    <w:rsid w:val="00F834EF"/>
    <w:rsid w:val="00F84243"/>
    <w:rsid w:val="00F844C0"/>
    <w:rsid w:val="00F84695"/>
    <w:rsid w:val="00F84BDB"/>
    <w:rsid w:val="00F84E58"/>
    <w:rsid w:val="00F85043"/>
    <w:rsid w:val="00F85499"/>
    <w:rsid w:val="00F85591"/>
    <w:rsid w:val="00F859D1"/>
    <w:rsid w:val="00F862C6"/>
    <w:rsid w:val="00F86935"/>
    <w:rsid w:val="00F87E82"/>
    <w:rsid w:val="00F90354"/>
    <w:rsid w:val="00F90892"/>
    <w:rsid w:val="00F909E3"/>
    <w:rsid w:val="00F91607"/>
    <w:rsid w:val="00F92B67"/>
    <w:rsid w:val="00F9304A"/>
    <w:rsid w:val="00F93754"/>
    <w:rsid w:val="00F937AA"/>
    <w:rsid w:val="00F937F7"/>
    <w:rsid w:val="00F9400E"/>
    <w:rsid w:val="00F941FE"/>
    <w:rsid w:val="00F943A7"/>
    <w:rsid w:val="00F9449F"/>
    <w:rsid w:val="00F9485E"/>
    <w:rsid w:val="00F95133"/>
    <w:rsid w:val="00F953FA"/>
    <w:rsid w:val="00F954AB"/>
    <w:rsid w:val="00F95B94"/>
    <w:rsid w:val="00F95BA3"/>
    <w:rsid w:val="00F95BCF"/>
    <w:rsid w:val="00F9669C"/>
    <w:rsid w:val="00F97F9E"/>
    <w:rsid w:val="00FA0CDB"/>
    <w:rsid w:val="00FA0E4C"/>
    <w:rsid w:val="00FA2047"/>
    <w:rsid w:val="00FA20BB"/>
    <w:rsid w:val="00FA24E1"/>
    <w:rsid w:val="00FA25D9"/>
    <w:rsid w:val="00FA26F0"/>
    <w:rsid w:val="00FA2F2B"/>
    <w:rsid w:val="00FA31CC"/>
    <w:rsid w:val="00FA35F9"/>
    <w:rsid w:val="00FA423B"/>
    <w:rsid w:val="00FA4392"/>
    <w:rsid w:val="00FA4626"/>
    <w:rsid w:val="00FA543E"/>
    <w:rsid w:val="00FA5843"/>
    <w:rsid w:val="00FA5BBD"/>
    <w:rsid w:val="00FA5D26"/>
    <w:rsid w:val="00FA5DEC"/>
    <w:rsid w:val="00FA601F"/>
    <w:rsid w:val="00FA68BA"/>
    <w:rsid w:val="00FA6963"/>
    <w:rsid w:val="00FA6AE6"/>
    <w:rsid w:val="00FA6DFC"/>
    <w:rsid w:val="00FA6ED3"/>
    <w:rsid w:val="00FA72F3"/>
    <w:rsid w:val="00FA7AD2"/>
    <w:rsid w:val="00FA7C58"/>
    <w:rsid w:val="00FA7CEA"/>
    <w:rsid w:val="00FA7DD6"/>
    <w:rsid w:val="00FB0532"/>
    <w:rsid w:val="00FB0657"/>
    <w:rsid w:val="00FB0979"/>
    <w:rsid w:val="00FB0DD0"/>
    <w:rsid w:val="00FB14D2"/>
    <w:rsid w:val="00FB18F2"/>
    <w:rsid w:val="00FB1BE2"/>
    <w:rsid w:val="00FB1DE1"/>
    <w:rsid w:val="00FB267C"/>
    <w:rsid w:val="00FB2779"/>
    <w:rsid w:val="00FB2990"/>
    <w:rsid w:val="00FB31CF"/>
    <w:rsid w:val="00FB3472"/>
    <w:rsid w:val="00FB352B"/>
    <w:rsid w:val="00FB4936"/>
    <w:rsid w:val="00FB4C8E"/>
    <w:rsid w:val="00FB5130"/>
    <w:rsid w:val="00FB520E"/>
    <w:rsid w:val="00FB5C77"/>
    <w:rsid w:val="00FB5EB2"/>
    <w:rsid w:val="00FB63E1"/>
    <w:rsid w:val="00FB6797"/>
    <w:rsid w:val="00FB6D2C"/>
    <w:rsid w:val="00FB6F0D"/>
    <w:rsid w:val="00FB75FA"/>
    <w:rsid w:val="00FB7BF2"/>
    <w:rsid w:val="00FB7E32"/>
    <w:rsid w:val="00FB7FB5"/>
    <w:rsid w:val="00FC01D1"/>
    <w:rsid w:val="00FC08B7"/>
    <w:rsid w:val="00FC0A11"/>
    <w:rsid w:val="00FC0A9A"/>
    <w:rsid w:val="00FC0B98"/>
    <w:rsid w:val="00FC0BF4"/>
    <w:rsid w:val="00FC0E43"/>
    <w:rsid w:val="00FC1352"/>
    <w:rsid w:val="00FC16EC"/>
    <w:rsid w:val="00FC1BD8"/>
    <w:rsid w:val="00FC24D3"/>
    <w:rsid w:val="00FC2C72"/>
    <w:rsid w:val="00FC2E14"/>
    <w:rsid w:val="00FC3931"/>
    <w:rsid w:val="00FC3ABD"/>
    <w:rsid w:val="00FC3F68"/>
    <w:rsid w:val="00FC40E1"/>
    <w:rsid w:val="00FC4296"/>
    <w:rsid w:val="00FC4520"/>
    <w:rsid w:val="00FC4C68"/>
    <w:rsid w:val="00FC5308"/>
    <w:rsid w:val="00FC5698"/>
    <w:rsid w:val="00FC58A4"/>
    <w:rsid w:val="00FC6429"/>
    <w:rsid w:val="00FC6543"/>
    <w:rsid w:val="00FC68EE"/>
    <w:rsid w:val="00FC6B5F"/>
    <w:rsid w:val="00FC769C"/>
    <w:rsid w:val="00FC7AE2"/>
    <w:rsid w:val="00FD05D7"/>
    <w:rsid w:val="00FD08D0"/>
    <w:rsid w:val="00FD0C37"/>
    <w:rsid w:val="00FD0F2F"/>
    <w:rsid w:val="00FD17CE"/>
    <w:rsid w:val="00FD1B8F"/>
    <w:rsid w:val="00FD1E6C"/>
    <w:rsid w:val="00FD226F"/>
    <w:rsid w:val="00FD22D1"/>
    <w:rsid w:val="00FD22EB"/>
    <w:rsid w:val="00FD23BD"/>
    <w:rsid w:val="00FD24FF"/>
    <w:rsid w:val="00FD2D61"/>
    <w:rsid w:val="00FD3D98"/>
    <w:rsid w:val="00FD42D2"/>
    <w:rsid w:val="00FD4656"/>
    <w:rsid w:val="00FD4F63"/>
    <w:rsid w:val="00FD5016"/>
    <w:rsid w:val="00FD5849"/>
    <w:rsid w:val="00FD5EB0"/>
    <w:rsid w:val="00FD633A"/>
    <w:rsid w:val="00FD676A"/>
    <w:rsid w:val="00FD6823"/>
    <w:rsid w:val="00FD6CDA"/>
    <w:rsid w:val="00FD6D9A"/>
    <w:rsid w:val="00FD6FA2"/>
    <w:rsid w:val="00FD70FA"/>
    <w:rsid w:val="00FD72E1"/>
    <w:rsid w:val="00FD753F"/>
    <w:rsid w:val="00FD7CC6"/>
    <w:rsid w:val="00FD7CE4"/>
    <w:rsid w:val="00FE025E"/>
    <w:rsid w:val="00FE0753"/>
    <w:rsid w:val="00FE0DCE"/>
    <w:rsid w:val="00FE17F5"/>
    <w:rsid w:val="00FE294F"/>
    <w:rsid w:val="00FE2F8A"/>
    <w:rsid w:val="00FE3098"/>
    <w:rsid w:val="00FE376B"/>
    <w:rsid w:val="00FE3D59"/>
    <w:rsid w:val="00FE435E"/>
    <w:rsid w:val="00FE45D0"/>
    <w:rsid w:val="00FE4D93"/>
    <w:rsid w:val="00FE509E"/>
    <w:rsid w:val="00FE52FB"/>
    <w:rsid w:val="00FE54A1"/>
    <w:rsid w:val="00FE55CD"/>
    <w:rsid w:val="00FE5C78"/>
    <w:rsid w:val="00FE5F2B"/>
    <w:rsid w:val="00FE6776"/>
    <w:rsid w:val="00FE6D5B"/>
    <w:rsid w:val="00FE7235"/>
    <w:rsid w:val="00FE78A7"/>
    <w:rsid w:val="00FF00A0"/>
    <w:rsid w:val="00FF125D"/>
    <w:rsid w:val="00FF13A5"/>
    <w:rsid w:val="00FF159F"/>
    <w:rsid w:val="00FF1684"/>
    <w:rsid w:val="00FF207E"/>
    <w:rsid w:val="00FF2925"/>
    <w:rsid w:val="00FF32CA"/>
    <w:rsid w:val="00FF342B"/>
    <w:rsid w:val="00FF3548"/>
    <w:rsid w:val="00FF3B77"/>
    <w:rsid w:val="00FF3BF6"/>
    <w:rsid w:val="00FF3DF7"/>
    <w:rsid w:val="00FF3F74"/>
    <w:rsid w:val="00FF4948"/>
    <w:rsid w:val="00FF4BAF"/>
    <w:rsid w:val="00FF4CD2"/>
    <w:rsid w:val="00FF4F23"/>
    <w:rsid w:val="00FF517F"/>
    <w:rsid w:val="00FF53CE"/>
    <w:rsid w:val="00FF54D5"/>
    <w:rsid w:val="00FF55A4"/>
    <w:rsid w:val="00FF5735"/>
    <w:rsid w:val="00FF5E52"/>
    <w:rsid w:val="00FF6341"/>
    <w:rsid w:val="00FF683F"/>
    <w:rsid w:val="00FF6EAE"/>
    <w:rsid w:val="00FF73E0"/>
    <w:rsid w:val="00FF74D4"/>
    <w:rsid w:val="00FF783F"/>
    <w:rsid w:val="00FF78DB"/>
    <w:rsid w:val="053C3483"/>
    <w:rsid w:val="165B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自选图形 1052"/>
        <o:r id="V:Rule2" type="connector" idref="#自选图形 1051"/>
        <o:r id="V:Rule3" type="connector" idref="#自选图形 1053"/>
        <o:r id="V:Rule4" type="connector" idref="#自选图形 1054"/>
        <o:r id="V:Rule5" type="connector" idref="#自选图形 1064"/>
        <o:r id="V:Rule6" type="connector" idref="#自选图形 1066"/>
        <o:r id="V:Rule7" type="connector" idref="#自选图形 1068"/>
        <o:r id="V:Rule8" type="connector" idref="#自选图形 1073"/>
        <o:r id="V:Rule9" type="connector" idref="#自选图形 1052"/>
        <o:r id="V:Rule10" type="connector" idref="#自选图形 1051"/>
        <o:r id="V:Rule11" type="connector" idref="#自选图形 1053"/>
        <o:r id="V:Rule12" type="connector" idref="#自选图形 1054"/>
        <o:r id="V:Rule13" type="connector" idref="#自选图形 1064"/>
        <o:r id="V:Rule14" type="connector" idref="#自选图形 1066"/>
        <o:r id="V:Rule15" type="connector" idref="#自选图形 1068"/>
        <o:r id="V:Rule16" type="connector" idref="#自选图形 1073"/>
        <o:r id="V:Rule17" type="connector" idref="#_x0000_s1099"/>
        <o:r id="V:Rule18" type="connector" idref="#_x0000_s1100"/>
        <o:r id="V:Rule19" type="connector" idref="#_x0000_s1101"/>
        <o:r id="V:Rule20" type="connector" idref="#_x0000_s1102"/>
        <o:r id="V:Rule21" type="connector" idref="#_x0000_s1103"/>
        <o:r id="V:Rule22" type="connector" idref="#_x0000_s1104"/>
        <o:r id="V:Rule23" type="connector" idref="#_x0000_s1109"/>
        <o:r id="V:Rule24" type="connector" idref="#_x0000_s1111"/>
        <o:r id="V:Rule25" type="connector" idref="#_x0000_s1113"/>
        <o:r id="V:Rule26" type="connector" idref="#_x0000_s1116"/>
        <o:r id="V:Rule27" type="connector" idref="#_x0000_s1118"/>
        <o:r id="V:Rule28" type="connector" idref="#_x0000_s1120"/>
        <o:r id="V:Rule29" type="connector" idref="#_x0000_s1122"/>
        <o:r id="V:Rule30" type="connector" idref="#_x0000_s1124"/>
        <o:r id="V:Rule31" type="connector" idref="#_x0000_s11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qFormat="1"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9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imes New Roman" w:hAnsi="Times New Roman" w:eastAsia="宋体" w:cs="Times New Roman"/>
      <w:kern w:val="2"/>
      <w:position w:val="6"/>
      <w:sz w:val="24"/>
      <w:szCs w:val="24"/>
      <w:lang w:val="en-US" w:eastAsia="zh-CN" w:bidi="ar-SA"/>
    </w:rPr>
  </w:style>
  <w:style w:type="paragraph" w:styleId="2">
    <w:name w:val="heading 1"/>
    <w:basedOn w:val="1"/>
    <w:next w:val="1"/>
    <w:link w:val="413"/>
    <w:qFormat/>
    <w:uiPriority w:val="0"/>
    <w:pPr>
      <w:spacing w:line="360" w:lineRule="auto"/>
      <w:ind w:firstLine="0" w:firstLineChars="0"/>
      <w:jc w:val="left"/>
      <w:outlineLvl w:val="0"/>
    </w:pPr>
    <w:rPr>
      <w:b/>
      <w:bCs/>
      <w:kern w:val="44"/>
      <w:position w:val="10"/>
      <w:sz w:val="28"/>
      <w:szCs w:val="44"/>
    </w:rPr>
  </w:style>
  <w:style w:type="paragraph" w:styleId="3">
    <w:name w:val="heading 2"/>
    <w:basedOn w:val="1"/>
    <w:next w:val="4"/>
    <w:link w:val="234"/>
    <w:qFormat/>
    <w:uiPriority w:val="0"/>
    <w:pPr>
      <w:keepNext/>
      <w:keepLines/>
      <w:tabs>
        <w:tab w:val="left" w:pos="900"/>
      </w:tabs>
      <w:spacing w:line="480" w:lineRule="exact"/>
      <w:outlineLvl w:val="1"/>
    </w:pPr>
    <w:rPr>
      <w:rFonts w:eastAsia="黑体"/>
      <w:szCs w:val="20"/>
    </w:rPr>
  </w:style>
  <w:style w:type="paragraph" w:styleId="5">
    <w:name w:val="heading 3"/>
    <w:basedOn w:val="1"/>
    <w:next w:val="1"/>
    <w:link w:val="414"/>
    <w:qFormat/>
    <w:uiPriority w:val="0"/>
    <w:pPr>
      <w:keepNext/>
      <w:keepLines/>
      <w:spacing w:line="480" w:lineRule="exact"/>
      <w:outlineLvl w:val="2"/>
    </w:pPr>
    <w:rPr>
      <w:rFonts w:eastAsia="黑体"/>
      <w:bCs/>
      <w:szCs w:val="32"/>
    </w:rPr>
  </w:style>
  <w:style w:type="paragraph" w:styleId="6">
    <w:name w:val="heading 4"/>
    <w:basedOn w:val="1"/>
    <w:next w:val="1"/>
    <w:link w:val="187"/>
    <w:qFormat/>
    <w:uiPriority w:val="0"/>
    <w:pPr>
      <w:keepNext/>
      <w:keepLines/>
      <w:widowControl/>
      <w:spacing w:beforeLines="50" w:line="480" w:lineRule="exact"/>
      <w:outlineLvl w:val="3"/>
    </w:pPr>
    <w:rPr>
      <w:rFonts w:eastAsia="黑体"/>
      <w:bCs/>
      <w:color w:val="000000"/>
      <w:szCs w:val="28"/>
    </w:rPr>
  </w:style>
  <w:style w:type="paragraph" w:styleId="7">
    <w:name w:val="heading 5"/>
    <w:basedOn w:val="1"/>
    <w:next w:val="1"/>
    <w:link w:val="382"/>
    <w:qFormat/>
    <w:uiPriority w:val="0"/>
    <w:pPr>
      <w:keepNext/>
      <w:keepLines/>
      <w:widowControl/>
      <w:ind w:firstLine="0" w:firstLineChars="0"/>
      <w:jc w:val="center"/>
      <w:outlineLvl w:val="4"/>
    </w:pPr>
    <w:rPr>
      <w:b/>
      <w:bCs/>
      <w:color w:val="000000"/>
      <w:szCs w:val="28"/>
    </w:rPr>
  </w:style>
  <w:style w:type="paragraph" w:styleId="8">
    <w:name w:val="heading 6"/>
    <w:basedOn w:val="1"/>
    <w:next w:val="1"/>
    <w:link w:val="416"/>
    <w:qFormat/>
    <w:uiPriority w:val="0"/>
    <w:pPr>
      <w:keepNext/>
      <w:keepLines/>
      <w:widowControl/>
      <w:spacing w:before="240" w:after="64" w:line="320" w:lineRule="auto"/>
      <w:outlineLvl w:val="5"/>
    </w:pPr>
    <w:rPr>
      <w:rFonts w:ascii="Arial" w:hAnsi="Arial" w:eastAsia="黑体"/>
      <w:b/>
      <w:bCs/>
      <w:color w:val="000000"/>
    </w:rPr>
  </w:style>
  <w:style w:type="paragraph" w:styleId="9">
    <w:name w:val="heading 7"/>
    <w:basedOn w:val="1"/>
    <w:next w:val="1"/>
    <w:link w:val="417"/>
    <w:qFormat/>
    <w:uiPriority w:val="0"/>
    <w:pPr>
      <w:keepNext/>
      <w:keepLines/>
      <w:widowControl/>
      <w:spacing w:before="240" w:after="64" w:line="320" w:lineRule="auto"/>
      <w:outlineLvl w:val="6"/>
    </w:pPr>
    <w:rPr>
      <w:b/>
      <w:bCs/>
      <w:color w:val="000000"/>
    </w:rPr>
  </w:style>
  <w:style w:type="paragraph" w:styleId="10">
    <w:name w:val="heading 8"/>
    <w:basedOn w:val="1"/>
    <w:next w:val="1"/>
    <w:link w:val="418"/>
    <w:qFormat/>
    <w:uiPriority w:val="0"/>
    <w:pPr>
      <w:keepNext/>
      <w:keepLines/>
      <w:widowControl/>
      <w:spacing w:before="240" w:after="64" w:line="320" w:lineRule="auto"/>
      <w:outlineLvl w:val="7"/>
    </w:pPr>
    <w:rPr>
      <w:rFonts w:ascii="Arial" w:hAnsi="Arial" w:eastAsia="黑体"/>
      <w:color w:val="000000"/>
    </w:rPr>
  </w:style>
  <w:style w:type="paragraph" w:styleId="11">
    <w:name w:val="heading 9"/>
    <w:basedOn w:val="1"/>
    <w:next w:val="1"/>
    <w:qFormat/>
    <w:uiPriority w:val="0"/>
    <w:pPr>
      <w:keepNext/>
      <w:keepLines/>
      <w:widowControl/>
      <w:spacing w:beforeLines="50" w:after="64" w:line="400" w:lineRule="exact"/>
      <w:jc w:val="center"/>
      <w:outlineLvl w:val="8"/>
    </w:pPr>
    <w:rPr>
      <w:color w:val="000000"/>
      <w:szCs w:val="21"/>
    </w:rPr>
  </w:style>
  <w:style w:type="character" w:default="1" w:styleId="55">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88"/>
    <w:qFormat/>
    <w:uiPriority w:val="0"/>
    <w:pPr>
      <w:ind w:firstLine="420"/>
    </w:pPr>
  </w:style>
  <w:style w:type="paragraph" w:styleId="12">
    <w:name w:val="toc 7"/>
    <w:basedOn w:val="1"/>
    <w:next w:val="1"/>
    <w:semiHidden/>
    <w:uiPriority w:val="0"/>
    <w:pPr>
      <w:ind w:left="2520" w:leftChars="1200"/>
    </w:pPr>
    <w:rPr>
      <w:sz w:val="21"/>
    </w:rPr>
  </w:style>
  <w:style w:type="paragraph" w:styleId="13">
    <w:name w:val="index 8"/>
    <w:basedOn w:val="1"/>
    <w:next w:val="1"/>
    <w:semiHidden/>
    <w:qFormat/>
    <w:uiPriority w:val="0"/>
    <w:pPr>
      <w:ind w:left="1400" w:leftChars="1400"/>
    </w:pPr>
    <w:rPr>
      <w:sz w:val="21"/>
      <w:szCs w:val="20"/>
    </w:rPr>
  </w:style>
  <w:style w:type="paragraph" w:styleId="14">
    <w:name w:val="caption"/>
    <w:basedOn w:val="1"/>
    <w:next w:val="1"/>
    <w:link w:val="222"/>
    <w:qFormat/>
    <w:uiPriority w:val="0"/>
    <w:pPr>
      <w:adjustRightInd w:val="0"/>
      <w:snapToGrid w:val="0"/>
      <w:spacing w:beforeLines="50" w:line="300" w:lineRule="auto"/>
      <w:jc w:val="center"/>
    </w:pPr>
    <w:rPr>
      <w:rFonts w:ascii="黑体" w:eastAsia="黑体" w:cs="宋体"/>
      <w:snapToGrid w:val="0"/>
      <w:kern w:val="0"/>
    </w:rPr>
  </w:style>
  <w:style w:type="paragraph" w:styleId="15">
    <w:name w:val="List Bullet"/>
    <w:basedOn w:val="1"/>
    <w:uiPriority w:val="0"/>
    <w:pPr>
      <w:jc w:val="center"/>
    </w:pPr>
    <w:rPr>
      <w:rFonts w:ascii="黑体" w:eastAsia="黑体"/>
    </w:rPr>
  </w:style>
  <w:style w:type="paragraph" w:styleId="16">
    <w:name w:val="Document Map"/>
    <w:basedOn w:val="1"/>
    <w:link w:val="424"/>
    <w:semiHidden/>
    <w:uiPriority w:val="0"/>
    <w:pPr>
      <w:shd w:val="clear" w:color="auto" w:fill="000080"/>
    </w:pPr>
  </w:style>
  <w:style w:type="paragraph" w:styleId="17">
    <w:name w:val="annotation text"/>
    <w:basedOn w:val="1"/>
    <w:link w:val="441"/>
    <w:qFormat/>
    <w:uiPriority w:val="0"/>
    <w:pPr>
      <w:jc w:val="left"/>
    </w:pPr>
    <w:rPr>
      <w:szCs w:val="20"/>
    </w:rPr>
  </w:style>
  <w:style w:type="paragraph" w:styleId="18">
    <w:name w:val="Body Text 3"/>
    <w:basedOn w:val="1"/>
    <w:link w:val="428"/>
    <w:qFormat/>
    <w:uiPriority w:val="0"/>
    <w:rPr>
      <w:rFonts w:ascii="黑体" w:eastAsia="黑体"/>
      <w:b/>
      <w:bCs/>
      <w:sz w:val="30"/>
    </w:rPr>
  </w:style>
  <w:style w:type="paragraph" w:styleId="19">
    <w:name w:val="Body Text"/>
    <w:basedOn w:val="1"/>
    <w:link w:val="427"/>
    <w:qFormat/>
    <w:uiPriority w:val="0"/>
    <w:pPr>
      <w:jc w:val="left"/>
    </w:pPr>
  </w:style>
  <w:style w:type="paragraph" w:styleId="20">
    <w:name w:val="Body Text Indent"/>
    <w:basedOn w:val="1"/>
    <w:link w:val="421"/>
    <w:qFormat/>
    <w:uiPriority w:val="0"/>
    <w:pPr>
      <w:ind w:firstLine="660"/>
      <w:jc w:val="left"/>
    </w:pPr>
  </w:style>
  <w:style w:type="paragraph" w:styleId="21">
    <w:name w:val="Block Text"/>
    <w:basedOn w:val="1"/>
    <w:qFormat/>
    <w:uiPriority w:val="0"/>
    <w:pPr>
      <w:ind w:left="-3" w:leftChars="-1" w:right="20" w:firstLine="517"/>
    </w:pPr>
  </w:style>
  <w:style w:type="paragraph" w:styleId="22">
    <w:name w:val="List Bullet 2"/>
    <w:basedOn w:val="1"/>
    <w:qFormat/>
    <w:uiPriority w:val="0"/>
    <w:pPr>
      <w:tabs>
        <w:tab w:val="left" w:pos="1080"/>
      </w:tabs>
      <w:ind w:left="1080" w:hanging="1080"/>
    </w:pPr>
  </w:style>
  <w:style w:type="paragraph" w:styleId="23">
    <w:name w:val="toc 5"/>
    <w:basedOn w:val="1"/>
    <w:next w:val="1"/>
    <w:semiHidden/>
    <w:qFormat/>
    <w:uiPriority w:val="0"/>
    <w:pPr>
      <w:ind w:left="1680" w:leftChars="800"/>
    </w:pPr>
    <w:rPr>
      <w:sz w:val="21"/>
    </w:rPr>
  </w:style>
  <w:style w:type="paragraph" w:styleId="24">
    <w:name w:val="toc 3"/>
    <w:basedOn w:val="1"/>
    <w:next w:val="1"/>
    <w:qFormat/>
    <w:uiPriority w:val="39"/>
    <w:pPr>
      <w:ind w:left="840" w:leftChars="400"/>
    </w:pPr>
    <w:rPr>
      <w:sz w:val="21"/>
    </w:rPr>
  </w:style>
  <w:style w:type="paragraph" w:styleId="25">
    <w:name w:val="Plain Text"/>
    <w:basedOn w:val="1"/>
    <w:link w:val="243"/>
    <w:qFormat/>
    <w:uiPriority w:val="0"/>
    <w:rPr>
      <w:rFonts w:hAnsi="Courier New"/>
      <w:sz w:val="21"/>
      <w:szCs w:val="20"/>
    </w:rPr>
  </w:style>
  <w:style w:type="paragraph" w:styleId="26">
    <w:name w:val="toc 8"/>
    <w:basedOn w:val="1"/>
    <w:next w:val="1"/>
    <w:semiHidden/>
    <w:qFormat/>
    <w:uiPriority w:val="0"/>
    <w:pPr>
      <w:ind w:left="2940" w:leftChars="1400"/>
    </w:pPr>
    <w:rPr>
      <w:sz w:val="21"/>
    </w:rPr>
  </w:style>
  <w:style w:type="paragraph" w:styleId="27">
    <w:name w:val="Date"/>
    <w:basedOn w:val="1"/>
    <w:next w:val="1"/>
    <w:link w:val="426"/>
    <w:qFormat/>
    <w:uiPriority w:val="0"/>
    <w:rPr>
      <w:szCs w:val="20"/>
    </w:rPr>
  </w:style>
  <w:style w:type="paragraph" w:styleId="28">
    <w:name w:val="Body Text Indent 2"/>
    <w:basedOn w:val="1"/>
    <w:link w:val="422"/>
    <w:qFormat/>
    <w:uiPriority w:val="0"/>
    <w:pPr>
      <w:ind w:firstLine="600"/>
      <w:jc w:val="left"/>
    </w:pPr>
  </w:style>
  <w:style w:type="paragraph" w:styleId="29">
    <w:name w:val="Balloon Text"/>
    <w:basedOn w:val="1"/>
    <w:link w:val="430"/>
    <w:semiHidden/>
    <w:qFormat/>
    <w:uiPriority w:val="0"/>
    <w:rPr>
      <w:sz w:val="18"/>
      <w:szCs w:val="18"/>
    </w:rPr>
  </w:style>
  <w:style w:type="paragraph" w:styleId="30">
    <w:name w:val="footer"/>
    <w:basedOn w:val="1"/>
    <w:link w:val="420"/>
    <w:qFormat/>
    <w:uiPriority w:val="99"/>
    <w:pPr>
      <w:tabs>
        <w:tab w:val="center" w:pos="4153"/>
        <w:tab w:val="right" w:pos="8306"/>
      </w:tabs>
      <w:snapToGrid w:val="0"/>
      <w:jc w:val="left"/>
    </w:pPr>
    <w:rPr>
      <w:sz w:val="18"/>
      <w:szCs w:val="18"/>
    </w:rPr>
  </w:style>
  <w:style w:type="paragraph" w:styleId="31">
    <w:name w:val="header"/>
    <w:basedOn w:val="1"/>
    <w:link w:val="419"/>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line="1000" w:lineRule="exact"/>
    </w:pPr>
    <w:rPr>
      <w:b/>
      <w:bCs/>
      <w:caps/>
      <w:color w:val="000000"/>
      <w:sz w:val="32"/>
      <w:szCs w:val="32"/>
    </w:rPr>
  </w:style>
  <w:style w:type="paragraph" w:styleId="33">
    <w:name w:val="toc 4"/>
    <w:basedOn w:val="1"/>
    <w:next w:val="1"/>
    <w:semiHidden/>
    <w:qFormat/>
    <w:uiPriority w:val="0"/>
    <w:pPr>
      <w:ind w:left="1260" w:leftChars="600"/>
    </w:pPr>
    <w:rPr>
      <w:sz w:val="21"/>
    </w:rPr>
  </w:style>
  <w:style w:type="paragraph" w:styleId="34">
    <w:name w:val="List"/>
    <w:basedOn w:val="1"/>
    <w:qFormat/>
    <w:uiPriority w:val="0"/>
    <w:pPr>
      <w:autoSpaceDE w:val="0"/>
      <w:autoSpaceDN w:val="0"/>
      <w:adjustRightInd w:val="0"/>
      <w:snapToGrid w:val="0"/>
      <w:spacing w:line="480" w:lineRule="exact"/>
      <w:jc w:val="center"/>
    </w:pPr>
    <w:rPr>
      <w:kern w:val="32"/>
      <w:szCs w:val="20"/>
    </w:rPr>
  </w:style>
  <w:style w:type="paragraph" w:styleId="35">
    <w:name w:val="footnote text"/>
    <w:basedOn w:val="1"/>
    <w:semiHidden/>
    <w:qFormat/>
    <w:uiPriority w:val="0"/>
    <w:pPr>
      <w:snapToGrid w:val="0"/>
      <w:jc w:val="left"/>
    </w:pPr>
    <w:rPr>
      <w:sz w:val="18"/>
      <w:szCs w:val="18"/>
    </w:rPr>
  </w:style>
  <w:style w:type="paragraph" w:styleId="36">
    <w:name w:val="toc 6"/>
    <w:basedOn w:val="1"/>
    <w:next w:val="1"/>
    <w:semiHidden/>
    <w:qFormat/>
    <w:uiPriority w:val="0"/>
    <w:pPr>
      <w:ind w:left="2100" w:leftChars="1000"/>
    </w:pPr>
    <w:rPr>
      <w:sz w:val="21"/>
    </w:rPr>
  </w:style>
  <w:style w:type="paragraph" w:styleId="37">
    <w:name w:val="Body Text Indent 3"/>
    <w:basedOn w:val="1"/>
    <w:link w:val="423"/>
    <w:qFormat/>
    <w:uiPriority w:val="0"/>
    <w:pPr>
      <w:ind w:firstLine="517"/>
      <w:jc w:val="left"/>
    </w:pPr>
  </w:style>
  <w:style w:type="paragraph" w:styleId="38">
    <w:name w:val="table of figures"/>
    <w:basedOn w:val="1"/>
    <w:next w:val="1"/>
    <w:semiHidden/>
    <w:qFormat/>
    <w:uiPriority w:val="0"/>
    <w:pPr>
      <w:adjustRightInd w:val="0"/>
      <w:snapToGrid w:val="0"/>
      <w:spacing w:line="360" w:lineRule="auto"/>
      <w:ind w:left="480" w:hanging="480"/>
      <w:jc w:val="left"/>
    </w:pPr>
    <w:rPr>
      <w:smallCaps/>
      <w:sz w:val="20"/>
      <w:szCs w:val="20"/>
    </w:rPr>
  </w:style>
  <w:style w:type="paragraph" w:styleId="39">
    <w:name w:val="toc 2"/>
    <w:basedOn w:val="1"/>
    <w:next w:val="1"/>
    <w:qFormat/>
    <w:uiPriority w:val="39"/>
    <w:pPr>
      <w:ind w:left="420" w:leftChars="200"/>
    </w:pPr>
    <w:rPr>
      <w:sz w:val="21"/>
    </w:rPr>
  </w:style>
  <w:style w:type="paragraph" w:styleId="40">
    <w:name w:val="toc 9"/>
    <w:basedOn w:val="1"/>
    <w:next w:val="1"/>
    <w:semiHidden/>
    <w:qFormat/>
    <w:uiPriority w:val="0"/>
    <w:pPr>
      <w:ind w:left="3360" w:leftChars="1600"/>
    </w:pPr>
    <w:rPr>
      <w:sz w:val="21"/>
    </w:rPr>
  </w:style>
  <w:style w:type="paragraph" w:styleId="41">
    <w:name w:val="Body Text 2"/>
    <w:basedOn w:val="1"/>
    <w:link w:val="436"/>
    <w:qFormat/>
    <w:uiPriority w:val="0"/>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43">
    <w:name w:val="Normal (Web)"/>
    <w:basedOn w:val="1"/>
    <w:qFormat/>
    <w:uiPriority w:val="99"/>
    <w:pPr>
      <w:widowControl/>
      <w:spacing w:before="100" w:after="100"/>
      <w:jc w:val="left"/>
    </w:pPr>
    <w:rPr>
      <w:kern w:val="0"/>
      <w:szCs w:val="20"/>
    </w:rPr>
  </w:style>
  <w:style w:type="paragraph" w:styleId="44">
    <w:name w:val="index 1"/>
    <w:basedOn w:val="1"/>
    <w:next w:val="1"/>
    <w:semiHidden/>
    <w:qFormat/>
    <w:uiPriority w:val="0"/>
    <w:pPr>
      <w:snapToGrid w:val="0"/>
      <w:spacing w:line="240" w:lineRule="atLeast"/>
    </w:pPr>
    <w:rPr>
      <w:sz w:val="21"/>
      <w:szCs w:val="21"/>
    </w:rPr>
  </w:style>
  <w:style w:type="paragraph" w:styleId="45">
    <w:name w:val="Title"/>
    <w:basedOn w:val="1"/>
    <w:qFormat/>
    <w:uiPriority w:val="0"/>
    <w:pPr>
      <w:widowControl/>
      <w:adjustRightInd w:val="0"/>
      <w:snapToGrid w:val="0"/>
      <w:spacing w:beforeLines="50" w:after="60" w:line="300" w:lineRule="auto"/>
      <w:ind w:firstLine="480"/>
      <w:jc w:val="center"/>
      <w:outlineLvl w:val="0"/>
    </w:pPr>
    <w:rPr>
      <w:rFonts w:ascii="Arial" w:hAnsi="Arial" w:cs="Arial"/>
      <w:b/>
      <w:kern w:val="0"/>
      <w:sz w:val="32"/>
      <w:szCs w:val="32"/>
    </w:rPr>
  </w:style>
  <w:style w:type="paragraph" w:styleId="46">
    <w:name w:val="annotation subject"/>
    <w:basedOn w:val="17"/>
    <w:next w:val="17"/>
    <w:semiHidden/>
    <w:qFormat/>
    <w:uiPriority w:val="0"/>
    <w:rPr>
      <w:b/>
      <w:bCs/>
    </w:rPr>
  </w:style>
  <w:style w:type="paragraph" w:styleId="47">
    <w:name w:val="Body Text First Indent"/>
    <w:basedOn w:val="19"/>
    <w:link w:val="412"/>
    <w:qFormat/>
    <w:uiPriority w:val="0"/>
    <w:pPr>
      <w:spacing w:after="120"/>
      <w:ind w:firstLine="420" w:firstLineChars="100"/>
      <w:jc w:val="both"/>
    </w:pPr>
    <w:rPr>
      <w:rFonts w:eastAsia="华文行楷"/>
      <w:sz w:val="21"/>
    </w:rPr>
  </w:style>
  <w:style w:type="paragraph" w:styleId="48">
    <w:name w:val="Body Text First Indent 2"/>
    <w:basedOn w:val="20"/>
    <w:link w:val="429"/>
    <w:qFormat/>
    <w:uiPriority w:val="0"/>
    <w:pPr>
      <w:spacing w:after="120"/>
      <w:ind w:left="420" w:leftChars="200" w:firstLine="420"/>
      <w:jc w:val="both"/>
    </w:pPr>
    <w:rPr>
      <w:sz w:val="21"/>
    </w:rPr>
  </w:style>
  <w:style w:type="table" w:styleId="50">
    <w:name w:val="Table Grid"/>
    <w:basedOn w:val="4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Theme"/>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Simple 1"/>
    <w:basedOn w:val="49"/>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53">
    <w:name w:val="Table List 7"/>
    <w:basedOn w:val="49"/>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54">
    <w:name w:val="Table Grid 1"/>
    <w:basedOn w:val="4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56">
    <w:name w:val="Strong"/>
    <w:qFormat/>
    <w:uiPriority w:val="0"/>
    <w:rPr>
      <w:b/>
      <w:bCs/>
    </w:rPr>
  </w:style>
  <w:style w:type="character" w:styleId="57">
    <w:name w:val="page number"/>
    <w:basedOn w:val="55"/>
    <w:qFormat/>
    <w:uiPriority w:val="0"/>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annotation reference"/>
    <w:semiHidden/>
    <w:qFormat/>
    <w:uiPriority w:val="0"/>
    <w:rPr>
      <w:sz w:val="21"/>
    </w:rPr>
  </w:style>
  <w:style w:type="character" w:styleId="61">
    <w:name w:val="footnote reference"/>
    <w:semiHidden/>
    <w:qFormat/>
    <w:uiPriority w:val="0"/>
    <w:rPr>
      <w:vertAlign w:val="superscript"/>
    </w:rPr>
  </w:style>
  <w:style w:type="paragraph" w:customStyle="1" w:styleId="62">
    <w:name w:val="简单回函地址"/>
    <w:basedOn w:val="1"/>
    <w:qFormat/>
    <w:uiPriority w:val="0"/>
    <w:rPr>
      <w:sz w:val="21"/>
    </w:rPr>
  </w:style>
  <w:style w:type="paragraph" w:customStyle="1" w:styleId="63">
    <w:name w:val="段落"/>
    <w:basedOn w:val="1"/>
    <w:qFormat/>
    <w:uiPriority w:val="0"/>
    <w:pPr>
      <w:spacing w:line="420" w:lineRule="exact"/>
      <w:ind w:firstLine="480"/>
    </w:pPr>
    <w:rPr>
      <w:szCs w:val="20"/>
    </w:rPr>
  </w:style>
  <w:style w:type="paragraph" w:customStyle="1" w:styleId="64">
    <w:name w:val="样式3"/>
    <w:basedOn w:val="30"/>
    <w:qFormat/>
    <w:uiPriority w:val="0"/>
    <w:pPr>
      <w:jc w:val="center"/>
    </w:pPr>
    <w:rPr>
      <w:rFonts w:hint="eastAsia" w:ascii="黑体" w:eastAsia="黑体"/>
      <w:sz w:val="21"/>
      <w:szCs w:val="20"/>
    </w:rPr>
  </w:style>
  <w:style w:type="paragraph" w:customStyle="1" w:styleId="65">
    <w:name w:val="Char Char Char Char Char Char Char Char Char Char Char Char Char Char Char Char"/>
    <w:basedOn w:val="1"/>
    <w:qFormat/>
    <w:uiPriority w:val="0"/>
    <w:rPr>
      <w:sz w:val="21"/>
    </w:rPr>
  </w:style>
  <w:style w:type="paragraph" w:customStyle="1" w:styleId="66">
    <w:name w:val="Char Char Char Char Char Char Char Char Char Char"/>
    <w:basedOn w:val="1"/>
    <w:qFormat/>
    <w:uiPriority w:val="0"/>
    <w:rPr>
      <w:sz w:val="21"/>
    </w:rPr>
  </w:style>
  <w:style w:type="paragraph" w:customStyle="1" w:styleId="67">
    <w:name w:val="Char Char4"/>
    <w:basedOn w:val="1"/>
    <w:qFormat/>
    <w:uiPriority w:val="0"/>
    <w:rPr>
      <w:sz w:val="21"/>
    </w:rPr>
  </w:style>
  <w:style w:type="paragraph" w:customStyle="1" w:styleId="68">
    <w:name w:val="标题4"/>
    <w:basedOn w:val="19"/>
    <w:qFormat/>
    <w:uiPriority w:val="0"/>
    <w:pPr>
      <w:keepNext/>
      <w:adjustRightInd w:val="0"/>
      <w:snapToGrid w:val="0"/>
      <w:spacing w:afterLines="50"/>
    </w:pPr>
    <w:rPr>
      <w:b/>
      <w:bCs/>
      <w:szCs w:val="28"/>
    </w:rPr>
  </w:style>
  <w:style w:type="paragraph" w:customStyle="1" w:styleId="69">
    <w:name w:val="Char Char Char Char Char Char Char Char Char1 Char Char Char Char Char Char Char Char Char Char Char Char Char Char Char"/>
    <w:basedOn w:val="1"/>
    <w:qFormat/>
    <w:uiPriority w:val="0"/>
    <w:pPr>
      <w:spacing w:line="360" w:lineRule="auto"/>
    </w:pPr>
    <w:rPr>
      <w:rFonts w:cs="宋体"/>
    </w:rPr>
  </w:style>
  <w:style w:type="paragraph" w:customStyle="1" w:styleId="70">
    <w:name w:val="Char Char Char Char Char Char Char Char Char Char Char Char Char Char Char Char Char Char Char Char Char"/>
    <w:basedOn w:val="1"/>
    <w:qFormat/>
    <w:uiPriority w:val="0"/>
    <w:pPr>
      <w:spacing w:line="360" w:lineRule="auto"/>
    </w:pPr>
    <w:rPr>
      <w:rFonts w:cs="宋体"/>
    </w:rPr>
  </w:style>
  <w:style w:type="paragraph" w:customStyle="1" w:styleId="71">
    <w:name w:val="Char Char Char Char Char Char Char Char Char1 Char Char Char Char Char Char Char Char Char Char Char Char Char"/>
    <w:basedOn w:val="1"/>
    <w:qFormat/>
    <w:uiPriority w:val="0"/>
    <w:pPr>
      <w:spacing w:line="360" w:lineRule="auto"/>
    </w:pPr>
    <w:rPr>
      <w:rFonts w:cs="宋体"/>
    </w:rPr>
  </w:style>
  <w:style w:type="paragraph" w:customStyle="1" w:styleId="72">
    <w:name w:val="Char5"/>
    <w:basedOn w:val="1"/>
    <w:qFormat/>
    <w:uiPriority w:val="0"/>
    <w:rPr>
      <w:sz w:val="21"/>
    </w:rPr>
  </w:style>
  <w:style w:type="paragraph" w:customStyle="1" w:styleId="73">
    <w:name w:val="表格3"/>
    <w:basedOn w:val="22"/>
    <w:qFormat/>
    <w:uiPriority w:val="0"/>
    <w:pPr>
      <w:tabs>
        <w:tab w:val="clear" w:pos="1080"/>
      </w:tabs>
      <w:spacing w:beforeLines="100" w:line="360" w:lineRule="exact"/>
      <w:ind w:left="0" w:firstLine="0"/>
      <w:jc w:val="center"/>
    </w:pPr>
    <w:rPr>
      <w:sz w:val="21"/>
    </w:rPr>
  </w:style>
  <w:style w:type="paragraph" w:customStyle="1" w:styleId="74">
    <w:name w:val="Char Char Char1"/>
    <w:basedOn w:val="1"/>
    <w:qFormat/>
    <w:uiPriority w:val="0"/>
    <w:rPr>
      <w:sz w:val="21"/>
    </w:rPr>
  </w:style>
  <w:style w:type="paragraph" w:customStyle="1" w:styleId="75">
    <w:name w:val="Char Char Char"/>
    <w:basedOn w:val="1"/>
    <w:qFormat/>
    <w:uiPriority w:val="0"/>
    <w:rPr>
      <w:sz w:val="21"/>
    </w:rPr>
  </w:style>
  <w:style w:type="paragraph" w:customStyle="1" w:styleId="76">
    <w:name w:val="Char Char Char Char Char Char"/>
    <w:basedOn w:val="1"/>
    <w:qFormat/>
    <w:uiPriority w:val="0"/>
    <w:rPr>
      <w:sz w:val="21"/>
    </w:rPr>
  </w:style>
  <w:style w:type="paragraph" w:customStyle="1" w:styleId="77">
    <w:name w:val="Char Char Char1 Char Char Char Char Char Char"/>
    <w:basedOn w:val="1"/>
    <w:qFormat/>
    <w:uiPriority w:val="0"/>
    <w:rPr>
      <w:sz w:val="21"/>
    </w:rPr>
  </w:style>
  <w:style w:type="paragraph" w:customStyle="1" w:styleId="78">
    <w:name w:val="Char Char Char Char"/>
    <w:basedOn w:val="1"/>
    <w:qFormat/>
    <w:uiPriority w:val="0"/>
    <w:pPr>
      <w:spacing w:line="360" w:lineRule="auto"/>
    </w:pPr>
    <w:rPr>
      <w:rFonts w:cs="宋体"/>
    </w:rPr>
  </w:style>
  <w:style w:type="paragraph" w:customStyle="1" w:styleId="79">
    <w:name w:val="Char Char Char Char Char Char Char Char Char Char Char Char Char Char Char Char Char Char Char"/>
    <w:basedOn w:val="1"/>
    <w:qFormat/>
    <w:uiPriority w:val="0"/>
    <w:pPr>
      <w:spacing w:line="360" w:lineRule="auto"/>
    </w:pPr>
    <w:rPr>
      <w:rFonts w:cs="宋体"/>
    </w:rPr>
  </w:style>
  <w:style w:type="paragraph" w:customStyle="1" w:styleId="80">
    <w:name w:val="正文内容"/>
    <w:basedOn w:val="1"/>
    <w:qFormat/>
    <w:uiPriority w:val="0"/>
    <w:pPr>
      <w:overflowPunct w:val="0"/>
      <w:topLinePunct/>
      <w:spacing w:line="480" w:lineRule="exact"/>
      <w:ind w:firstLine="517"/>
    </w:pPr>
  </w:style>
  <w:style w:type="paragraph" w:customStyle="1" w:styleId="81">
    <w:name w:val="表格文字"/>
    <w:basedOn w:val="1"/>
    <w:next w:val="1"/>
    <w:link w:val="273"/>
    <w:qFormat/>
    <w:uiPriority w:val="0"/>
    <w:pPr>
      <w:adjustRightInd w:val="0"/>
      <w:spacing w:line="340" w:lineRule="exact"/>
      <w:ind w:left="-102" w:leftChars="-34"/>
      <w:jc w:val="center"/>
    </w:pPr>
    <w:rPr>
      <w:sz w:val="21"/>
    </w:rPr>
  </w:style>
  <w:style w:type="character" w:customStyle="1" w:styleId="82">
    <w:name w:val="标题 1 Char"/>
    <w:qFormat/>
    <w:uiPriority w:val="0"/>
    <w:rPr>
      <w:rFonts w:eastAsia="黑体"/>
      <w:b/>
      <w:bCs/>
      <w:kern w:val="44"/>
      <w:sz w:val="36"/>
      <w:szCs w:val="44"/>
      <w:lang w:val="en-US" w:eastAsia="zh-CN" w:bidi="ar-SA"/>
    </w:rPr>
  </w:style>
  <w:style w:type="paragraph" w:customStyle="1" w:styleId="83">
    <w:name w:val="表格2"/>
    <w:basedOn w:val="1"/>
    <w:qFormat/>
    <w:uiPriority w:val="0"/>
    <w:pPr>
      <w:ind w:left="601"/>
    </w:pPr>
    <w:rPr>
      <w:szCs w:val="28"/>
    </w:rPr>
  </w:style>
  <w:style w:type="paragraph" w:customStyle="1" w:styleId="84">
    <w:name w:val="表格5"/>
    <w:basedOn w:val="25"/>
    <w:qFormat/>
    <w:uiPriority w:val="0"/>
    <w:pPr>
      <w:spacing w:line="400" w:lineRule="exact"/>
      <w:jc w:val="center"/>
    </w:pPr>
    <w:rPr>
      <w:rFonts w:cs="Courier New"/>
      <w:szCs w:val="21"/>
    </w:rPr>
  </w:style>
  <w:style w:type="paragraph" w:customStyle="1" w:styleId="85">
    <w:name w:val="(1)."/>
    <w:basedOn w:val="1"/>
    <w:qFormat/>
    <w:uiPriority w:val="0"/>
    <w:pPr>
      <w:snapToGrid w:val="0"/>
      <w:spacing w:after="120" w:line="400" w:lineRule="atLeast"/>
      <w:ind w:left="2098"/>
    </w:pPr>
    <w:rPr>
      <w:rFonts w:ascii="DFKai-SB" w:eastAsia="DFKai-SB"/>
      <w:sz w:val="26"/>
      <w:szCs w:val="20"/>
      <w:lang w:eastAsia="zh-TW"/>
    </w:rPr>
  </w:style>
  <w:style w:type="paragraph" w:customStyle="1" w:styleId="86">
    <w:name w:val="样式1"/>
    <w:basedOn w:val="1"/>
    <w:qFormat/>
    <w:uiPriority w:val="0"/>
    <w:pPr>
      <w:tabs>
        <w:tab w:val="left" w:pos="1170"/>
      </w:tabs>
      <w:ind w:left="1170" w:hanging="720"/>
    </w:pPr>
  </w:style>
  <w:style w:type="paragraph" w:customStyle="1" w:styleId="87">
    <w:name w:val="font5"/>
    <w:basedOn w:val="1"/>
    <w:qFormat/>
    <w:uiPriority w:val="0"/>
    <w:pPr>
      <w:widowControl/>
      <w:spacing w:before="100" w:beforeAutospacing="1" w:after="100" w:afterAutospacing="1"/>
      <w:jc w:val="left"/>
    </w:pPr>
    <w:rPr>
      <w:rFonts w:hint="eastAsia"/>
      <w:kern w:val="0"/>
      <w:sz w:val="18"/>
      <w:szCs w:val="18"/>
    </w:rPr>
  </w:style>
  <w:style w:type="paragraph" w:customStyle="1" w:styleId="88">
    <w:name w:val="font6"/>
    <w:basedOn w:val="1"/>
    <w:qFormat/>
    <w:uiPriority w:val="0"/>
    <w:pPr>
      <w:widowControl/>
      <w:spacing w:before="100" w:beforeAutospacing="1" w:after="100" w:afterAutospacing="1"/>
      <w:jc w:val="left"/>
    </w:pPr>
    <w:rPr>
      <w:rFonts w:hint="eastAsia"/>
      <w:kern w:val="0"/>
      <w:sz w:val="32"/>
      <w:szCs w:val="32"/>
    </w:rPr>
  </w:style>
  <w:style w:type="paragraph" w:customStyle="1" w:styleId="89">
    <w:name w:val="font7"/>
    <w:basedOn w:val="1"/>
    <w:qFormat/>
    <w:uiPriority w:val="0"/>
    <w:pPr>
      <w:widowControl/>
      <w:spacing w:before="100" w:beforeAutospacing="1" w:after="100" w:afterAutospacing="1"/>
      <w:jc w:val="left"/>
    </w:pPr>
    <w:rPr>
      <w:rFonts w:eastAsia="Arial Unicode MS"/>
      <w:kern w:val="0"/>
      <w:sz w:val="32"/>
      <w:szCs w:val="32"/>
    </w:rPr>
  </w:style>
  <w:style w:type="paragraph" w:customStyle="1" w:styleId="90">
    <w:name w:val="font8"/>
    <w:basedOn w:val="1"/>
    <w:qFormat/>
    <w:uiPriority w:val="0"/>
    <w:pPr>
      <w:widowControl/>
      <w:spacing w:before="100" w:beforeAutospacing="1" w:after="100" w:afterAutospacing="1"/>
      <w:jc w:val="left"/>
    </w:pPr>
    <w:rPr>
      <w:rFonts w:hint="eastAsia"/>
      <w:kern w:val="0"/>
      <w:sz w:val="22"/>
      <w:szCs w:val="22"/>
    </w:rPr>
  </w:style>
  <w:style w:type="paragraph" w:customStyle="1" w:styleId="91">
    <w:name w:val="font9"/>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92">
    <w:name w:val="font10"/>
    <w:basedOn w:val="1"/>
    <w:qFormat/>
    <w:uiPriority w:val="0"/>
    <w:pPr>
      <w:widowControl/>
      <w:spacing w:before="100" w:beforeAutospacing="1" w:after="100" w:afterAutospacing="1"/>
      <w:jc w:val="left"/>
    </w:pPr>
    <w:rPr>
      <w:rFonts w:hint="eastAsia"/>
      <w:kern w:val="0"/>
      <w:sz w:val="30"/>
      <w:szCs w:val="30"/>
    </w:rPr>
  </w:style>
  <w:style w:type="paragraph" w:customStyle="1" w:styleId="93">
    <w:name w:val="font11"/>
    <w:basedOn w:val="1"/>
    <w:qFormat/>
    <w:uiPriority w:val="0"/>
    <w:pPr>
      <w:widowControl/>
      <w:tabs>
        <w:tab w:val="left" w:pos="900"/>
      </w:tabs>
      <w:spacing w:before="100" w:beforeAutospacing="1" w:after="100" w:afterAutospacing="1"/>
      <w:jc w:val="left"/>
    </w:pPr>
    <w:rPr>
      <w:rFonts w:hint="eastAsia"/>
      <w:kern w:val="0"/>
      <w:sz w:val="16"/>
      <w:szCs w:val="16"/>
    </w:rPr>
  </w:style>
  <w:style w:type="paragraph" w:customStyle="1" w:styleId="94">
    <w:name w:val="xl24"/>
    <w:basedOn w:val="1"/>
    <w:qFormat/>
    <w:uiPriority w:val="0"/>
    <w:pPr>
      <w:widowControl/>
      <w:pBdr>
        <w:top w:val="single" w:color="auto" w:sz="4" w:space="0"/>
        <w:left w:val="single" w:color="auto" w:sz="4" w:space="0"/>
        <w:bottom w:val="single" w:color="auto" w:sz="4" w:space="0"/>
        <w:right w:val="single" w:color="auto" w:sz="4" w:space="0"/>
      </w:pBdr>
      <w:tabs>
        <w:tab w:val="left" w:pos="900"/>
      </w:tabs>
      <w:spacing w:before="100" w:beforeAutospacing="1" w:after="100" w:afterAutospacing="1"/>
      <w:jc w:val="center"/>
      <w:textAlignment w:val="center"/>
    </w:pPr>
    <w:rPr>
      <w:rFonts w:ascii="Arial Unicode MS" w:hAnsi="Arial Unicode MS" w:eastAsia="Arial Unicode MS"/>
      <w:kern w:val="0"/>
    </w:rPr>
  </w:style>
  <w:style w:type="paragraph" w:customStyle="1" w:styleId="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2"/>
      <w:szCs w:val="22"/>
    </w:rPr>
  </w:style>
  <w:style w:type="paragraph" w:customStyle="1" w:styleId="9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rPr>
  </w:style>
  <w:style w:type="paragraph" w:customStyle="1" w:styleId="9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98">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9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100">
    <w:name w:val="xl30"/>
    <w:basedOn w:val="1"/>
    <w:qFormat/>
    <w:uiPriority w:val="0"/>
    <w:pPr>
      <w:widowControl/>
      <w:numPr>
        <w:ilvl w:val="0"/>
        <w:numId w:val="1"/>
      </w:numPr>
      <w:pBdr>
        <w:left w:val="single" w:color="auto" w:sz="4" w:space="0"/>
        <w:bottom w:val="single" w:color="auto" w:sz="4" w:space="0"/>
        <w:right w:val="single" w:color="auto" w:sz="4" w:space="0"/>
      </w:pBdr>
      <w:tabs>
        <w:tab w:val="clear" w:pos="1290"/>
      </w:tabs>
      <w:spacing w:before="100" w:beforeAutospacing="1" w:after="100" w:afterAutospacing="1"/>
      <w:ind w:left="0" w:firstLine="0"/>
      <w:jc w:val="center"/>
      <w:textAlignment w:val="center"/>
    </w:pPr>
    <w:rPr>
      <w:rFonts w:ascii="Arial Unicode MS" w:hAnsi="Arial Unicode MS" w:eastAsia="Arial Unicode MS"/>
      <w:kern w:val="0"/>
    </w:rPr>
  </w:style>
  <w:style w:type="paragraph" w:customStyle="1" w:styleId="10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10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0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rPr>
  </w:style>
  <w:style w:type="paragraph" w:customStyle="1" w:styleId="104">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22"/>
      <w:szCs w:val="22"/>
    </w:rPr>
  </w:style>
  <w:style w:type="paragraph" w:customStyle="1" w:styleId="1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6"/>
      <w:szCs w:val="16"/>
    </w:rPr>
  </w:style>
  <w:style w:type="paragraph" w:customStyle="1" w:styleId="106">
    <w:name w:val="xl36"/>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kern w:val="0"/>
      <w:sz w:val="32"/>
      <w:szCs w:val="32"/>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6"/>
      <w:szCs w:val="26"/>
    </w:rPr>
  </w:style>
  <w:style w:type="paragraph" w:customStyle="1" w:styleId="108">
    <w:name w:val="xl38"/>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right"/>
      <w:textAlignment w:val="center"/>
    </w:pPr>
    <w:rPr>
      <w:rFonts w:hint="eastAsia" w:eastAsia="楷体_GB2312"/>
      <w:color w:val="000000"/>
      <w:kern w:val="0"/>
      <w:sz w:val="20"/>
      <w:szCs w:val="20"/>
    </w:rPr>
  </w:style>
  <w:style w:type="paragraph" w:customStyle="1" w:styleId="10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eastAsia="楷体_GB2312"/>
      <w:color w:val="000000"/>
      <w:kern w:val="0"/>
      <w:sz w:val="20"/>
      <w:szCs w:val="20"/>
    </w:rPr>
  </w:style>
  <w:style w:type="paragraph" w:customStyle="1" w:styleId="11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hint="eastAsia" w:eastAsia="楷体_GB2312"/>
      <w:color w:val="FF0000"/>
      <w:kern w:val="0"/>
      <w:sz w:val="20"/>
      <w:szCs w:val="20"/>
    </w:rPr>
  </w:style>
  <w:style w:type="paragraph" w:customStyle="1" w:styleId="11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eastAsia="楷体_GB2312"/>
      <w:color w:val="FF0000"/>
      <w:kern w:val="0"/>
      <w:sz w:val="20"/>
      <w:szCs w:val="20"/>
    </w:rPr>
  </w:style>
  <w:style w:type="paragraph" w:customStyle="1" w:styleId="112">
    <w:name w:val="xl42"/>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center"/>
      <w:textAlignment w:val="center"/>
    </w:pPr>
    <w:rPr>
      <w:rFonts w:hint="eastAsia" w:ascii="华文中宋" w:hAnsi="华文中宋" w:eastAsia="华文中宋"/>
      <w:color w:val="000000"/>
      <w:kern w:val="0"/>
      <w:sz w:val="20"/>
      <w:szCs w:val="20"/>
    </w:rPr>
  </w:style>
  <w:style w:type="paragraph" w:customStyle="1" w:styleId="113">
    <w:name w:val="xl43"/>
    <w:basedOn w:val="1"/>
    <w:qFormat/>
    <w:uiPriority w:val="0"/>
    <w:pPr>
      <w:widowControl/>
      <w:pBdr>
        <w:left w:val="single" w:color="auto" w:sz="4" w:space="0"/>
        <w:right w:val="single" w:color="auto" w:sz="4" w:space="0"/>
      </w:pBdr>
      <w:shd w:val="clear" w:color="auto" w:fill="CCFFCC"/>
      <w:spacing w:before="100" w:beforeAutospacing="1" w:after="100" w:afterAutospacing="1"/>
      <w:jc w:val="center"/>
      <w:textAlignment w:val="center"/>
    </w:pPr>
    <w:rPr>
      <w:rFonts w:hint="eastAsia" w:ascii="华文中宋" w:hAnsi="华文中宋" w:eastAsia="华文中宋"/>
      <w:color w:val="000000"/>
      <w:kern w:val="0"/>
      <w:sz w:val="20"/>
      <w:szCs w:val="20"/>
    </w:rPr>
  </w:style>
  <w:style w:type="paragraph" w:customStyle="1" w:styleId="114">
    <w:name w:val="xl44"/>
    <w:basedOn w:val="1"/>
    <w:qFormat/>
    <w:uiPriority w:val="0"/>
    <w:pPr>
      <w:widowControl/>
      <w:spacing w:before="100" w:beforeAutospacing="1" w:after="100" w:afterAutospacing="1"/>
      <w:jc w:val="right"/>
      <w:textAlignment w:val="center"/>
    </w:pPr>
    <w:rPr>
      <w:rFonts w:hint="eastAsia" w:eastAsia="楷体_GB2312"/>
      <w:color w:val="000000"/>
      <w:kern w:val="0"/>
      <w:sz w:val="22"/>
      <w:szCs w:val="22"/>
    </w:rPr>
  </w:style>
  <w:style w:type="paragraph" w:customStyle="1" w:styleId="115">
    <w:name w:val="xl45"/>
    <w:basedOn w:val="1"/>
    <w:qFormat/>
    <w:uiPriority w:val="0"/>
    <w:pPr>
      <w:widowControl/>
      <w:shd w:val="clear" w:color="auto" w:fill="E3E3E3"/>
      <w:spacing w:before="100" w:beforeAutospacing="1" w:after="100" w:afterAutospacing="1"/>
      <w:jc w:val="left"/>
    </w:pPr>
    <w:rPr>
      <w:rFonts w:hint="eastAsia" w:ascii="华文中宋" w:hAnsi="华文中宋" w:eastAsia="华文中宋"/>
      <w:color w:val="000000"/>
      <w:kern w:val="0"/>
      <w:szCs w:val="28"/>
    </w:rPr>
  </w:style>
  <w:style w:type="paragraph" w:customStyle="1" w:styleId="116">
    <w:name w:val="xl46"/>
    <w:basedOn w:val="1"/>
    <w:qFormat/>
    <w:uiPriority w:val="0"/>
    <w:pPr>
      <w:widowControl/>
      <w:spacing w:before="100" w:beforeAutospacing="1" w:after="100" w:afterAutospacing="1"/>
      <w:jc w:val="center"/>
    </w:pPr>
    <w:rPr>
      <w:rFonts w:hint="eastAsia" w:eastAsia="楷体_GB2312"/>
      <w:color w:val="000000"/>
      <w:kern w:val="0"/>
      <w:szCs w:val="28"/>
    </w:rPr>
  </w:style>
  <w:style w:type="paragraph" w:customStyle="1" w:styleId="117">
    <w:name w:val="xl47"/>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center"/>
    </w:pPr>
    <w:rPr>
      <w:rFonts w:hint="eastAsia" w:eastAsia="楷体_GB2312"/>
      <w:color w:val="000000"/>
      <w:kern w:val="0"/>
      <w:sz w:val="20"/>
      <w:szCs w:val="20"/>
    </w:rPr>
  </w:style>
  <w:style w:type="paragraph" w:customStyle="1" w:styleId="118">
    <w:name w:val="xl48"/>
    <w:basedOn w:val="1"/>
    <w:qFormat/>
    <w:uiPriority w:val="0"/>
    <w:pPr>
      <w:widowControl/>
      <w:pBdr>
        <w:left w:val="single" w:color="auto" w:sz="4" w:space="0"/>
        <w:right w:val="single" w:color="auto" w:sz="4" w:space="0"/>
      </w:pBdr>
      <w:shd w:val="clear" w:color="auto" w:fill="CCFFCC"/>
      <w:spacing w:before="100" w:beforeAutospacing="1" w:after="100" w:afterAutospacing="1"/>
      <w:jc w:val="right"/>
      <w:textAlignment w:val="center"/>
    </w:pPr>
    <w:rPr>
      <w:rFonts w:hint="eastAsia" w:eastAsia="楷体_GB2312"/>
      <w:color w:val="000000"/>
      <w:kern w:val="0"/>
      <w:sz w:val="20"/>
      <w:szCs w:val="20"/>
    </w:rPr>
  </w:style>
  <w:style w:type="paragraph" w:customStyle="1" w:styleId="119">
    <w:name w:val="xl49"/>
    <w:basedOn w:val="1"/>
    <w:qFormat/>
    <w:uiPriority w:val="0"/>
    <w:pPr>
      <w:widowControl/>
      <w:pBdr>
        <w:top w:val="single" w:color="auto" w:sz="4" w:space="0"/>
        <w:left w:val="single" w:color="auto" w:sz="4" w:space="0"/>
        <w:right w:val="single" w:color="auto" w:sz="4" w:space="0"/>
      </w:pBdr>
      <w:shd w:val="clear" w:color="auto" w:fill="CCFFCC"/>
      <w:spacing w:before="100" w:beforeAutospacing="1" w:after="100" w:afterAutospacing="1"/>
      <w:jc w:val="center"/>
      <w:textAlignment w:val="center"/>
    </w:pPr>
    <w:rPr>
      <w:rFonts w:hint="eastAsia" w:ascii="华文中宋" w:hAnsi="华文中宋" w:eastAsia="华文中宋"/>
      <w:color w:val="000000"/>
      <w:kern w:val="0"/>
      <w:sz w:val="20"/>
      <w:szCs w:val="20"/>
    </w:rPr>
  </w:style>
  <w:style w:type="paragraph" w:customStyle="1" w:styleId="12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eastAsia="楷体_GB2312"/>
      <w:kern w:val="0"/>
      <w:sz w:val="22"/>
      <w:szCs w:val="22"/>
    </w:rPr>
  </w:style>
  <w:style w:type="paragraph" w:customStyle="1" w:styleId="121">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eastAsia="楷体_GB2312"/>
      <w:color w:val="000000"/>
      <w:kern w:val="0"/>
      <w:sz w:val="20"/>
      <w:szCs w:val="20"/>
    </w:rPr>
  </w:style>
  <w:style w:type="paragraph" w:customStyle="1" w:styleId="122">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69FFFF"/>
      <w:spacing w:before="100" w:beforeAutospacing="1" w:after="100" w:afterAutospacing="1"/>
      <w:jc w:val="right"/>
      <w:textAlignment w:val="center"/>
    </w:pPr>
    <w:rPr>
      <w:rFonts w:eastAsia="楷体_GB2312"/>
      <w:color w:val="000000"/>
      <w:kern w:val="0"/>
      <w:sz w:val="20"/>
      <w:szCs w:val="20"/>
    </w:rPr>
  </w:style>
  <w:style w:type="paragraph" w:customStyle="1" w:styleId="123">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eastAsia="楷体_GB2312"/>
      <w:color w:val="000000"/>
      <w:kern w:val="0"/>
      <w:sz w:val="20"/>
      <w:szCs w:val="20"/>
    </w:rPr>
  </w:style>
  <w:style w:type="paragraph" w:customStyle="1" w:styleId="124">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69FFFF"/>
      <w:spacing w:before="100" w:beforeAutospacing="1" w:after="100" w:afterAutospacing="1"/>
      <w:jc w:val="center"/>
      <w:textAlignment w:val="center"/>
    </w:pPr>
    <w:rPr>
      <w:rFonts w:hint="eastAsia" w:eastAsia="楷体_GB2312"/>
      <w:color w:val="000000"/>
      <w:kern w:val="0"/>
      <w:sz w:val="20"/>
      <w:szCs w:val="20"/>
    </w:rPr>
  </w:style>
  <w:style w:type="paragraph" w:customStyle="1" w:styleId="125">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ascii="华文中宋" w:hAnsi="华文中宋" w:eastAsia="华文中宋"/>
      <w:color w:val="000000"/>
      <w:kern w:val="0"/>
      <w:sz w:val="20"/>
      <w:szCs w:val="20"/>
    </w:rPr>
  </w:style>
  <w:style w:type="paragraph" w:customStyle="1" w:styleId="126">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left"/>
      <w:textAlignment w:val="center"/>
    </w:pPr>
    <w:rPr>
      <w:rFonts w:hint="eastAsia" w:ascii="华文中宋" w:hAnsi="华文中宋" w:eastAsia="华文中宋"/>
      <w:color w:val="FF0000"/>
      <w:kern w:val="0"/>
      <w:sz w:val="20"/>
      <w:szCs w:val="20"/>
    </w:rPr>
  </w:style>
  <w:style w:type="paragraph" w:customStyle="1" w:styleId="127">
    <w:name w:val="1、样式"/>
    <w:basedOn w:val="1"/>
    <w:qFormat/>
    <w:uiPriority w:val="0"/>
    <w:pPr>
      <w:tabs>
        <w:tab w:val="left" w:pos="420"/>
        <w:tab w:val="left" w:pos="1530"/>
      </w:tabs>
      <w:spacing w:line="540" w:lineRule="exact"/>
      <w:ind w:firstLine="420"/>
    </w:pPr>
  </w:style>
  <w:style w:type="paragraph" w:customStyle="1" w:styleId="128">
    <w:name w:val="表格"/>
    <w:basedOn w:val="1"/>
    <w:qFormat/>
    <w:uiPriority w:val="0"/>
    <w:pPr>
      <w:spacing w:line="320" w:lineRule="exact"/>
    </w:pPr>
    <w:rPr>
      <w:sz w:val="21"/>
    </w:rPr>
  </w:style>
  <w:style w:type="paragraph" w:customStyle="1" w:styleId="129">
    <w:name w:val="表格小四"/>
    <w:basedOn w:val="1"/>
    <w:qFormat/>
    <w:uiPriority w:val="0"/>
    <w:pPr>
      <w:spacing w:line="480" w:lineRule="exact"/>
      <w:jc w:val="center"/>
    </w:pPr>
    <w:rPr>
      <w:kern w:val="0"/>
      <w:szCs w:val="20"/>
    </w:rPr>
  </w:style>
  <w:style w:type="character" w:customStyle="1" w:styleId="130">
    <w:name w:val="已访问的超链接1"/>
    <w:qFormat/>
    <w:uiPriority w:val="0"/>
    <w:rPr>
      <w:color w:val="800080"/>
      <w:u w:val="single"/>
    </w:rPr>
  </w:style>
  <w:style w:type="paragraph" w:customStyle="1" w:styleId="131">
    <w:name w:val="样式 标题 1 + 粉红 两端对齐 段前: 0 磅 段后: 0 磅 行距: 固定值 27 磅"/>
    <w:basedOn w:val="2"/>
    <w:qFormat/>
    <w:uiPriority w:val="0"/>
    <w:pPr>
      <w:tabs>
        <w:tab w:val="left" w:pos="0"/>
      </w:tabs>
      <w:spacing w:before="50" w:line="540" w:lineRule="exact"/>
      <w:ind w:firstLine="567"/>
    </w:pPr>
    <w:rPr>
      <w:rFonts w:eastAsia="黑体" w:cs="宋体"/>
      <w:color w:val="FF00FF"/>
      <w:sz w:val="36"/>
      <w:szCs w:val="20"/>
    </w:rPr>
  </w:style>
  <w:style w:type="paragraph" w:customStyle="1" w:styleId="132">
    <w:name w:val="样式 标题 1 + 两端对齐 段前: 0 磅 段后: 0 磅 行距: 固定值 27 磅"/>
    <w:basedOn w:val="2"/>
    <w:uiPriority w:val="0"/>
    <w:pPr>
      <w:tabs>
        <w:tab w:val="left" w:pos="0"/>
      </w:tabs>
      <w:spacing w:before="50" w:afterLines="50" w:line="540" w:lineRule="exact"/>
      <w:ind w:firstLine="567"/>
    </w:pPr>
    <w:rPr>
      <w:rFonts w:eastAsia="黑体" w:cs="宋体"/>
      <w:kern w:val="0"/>
      <w:sz w:val="36"/>
      <w:szCs w:val="20"/>
    </w:rPr>
  </w:style>
  <w:style w:type="paragraph" w:customStyle="1" w:styleId="133">
    <w:name w:val="样式 样式 标题 1 + 粉红 两端对齐 段前: 0 磅 段后: 0 磅 行距: 固定值 27 磅 + 段前: 0.5 行"/>
    <w:basedOn w:val="131"/>
    <w:uiPriority w:val="0"/>
    <w:pPr>
      <w:spacing w:afterLines="50"/>
    </w:pPr>
  </w:style>
  <w:style w:type="paragraph" w:customStyle="1" w:styleId="134">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0"/>
      <w:szCs w:val="20"/>
    </w:rPr>
  </w:style>
  <w:style w:type="paragraph" w:customStyle="1" w:styleId="135">
    <w:name w:val="xl58"/>
    <w:basedOn w:val="1"/>
    <w:uiPriority w:val="0"/>
    <w:pPr>
      <w:widowControl/>
      <w:pBdr>
        <w:left w:val="single" w:color="auto" w:sz="4" w:space="0"/>
        <w:bottom w:val="single" w:color="auto" w:sz="4" w:space="0"/>
        <w:right w:val="single" w:color="auto" w:sz="4" w:space="0"/>
      </w:pBdr>
      <w:shd w:val="clear" w:color="auto" w:fill="E3E3E3"/>
      <w:spacing w:before="100" w:beforeAutospacing="1" w:after="100" w:afterAutospacing="1"/>
      <w:jc w:val="left"/>
    </w:pPr>
    <w:rPr>
      <w:rFonts w:ascii="华文中宋" w:hAnsi="华文中宋" w:eastAsia="华文中宋"/>
      <w:color w:val="000000"/>
      <w:kern w:val="0"/>
      <w:sz w:val="20"/>
      <w:szCs w:val="20"/>
    </w:rPr>
  </w:style>
  <w:style w:type="paragraph" w:customStyle="1" w:styleId="136">
    <w:name w:val="xl5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137">
    <w:name w:val="xl6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pPr>
    <w:rPr>
      <w:color w:val="000000"/>
      <w:kern w:val="0"/>
      <w:sz w:val="20"/>
      <w:szCs w:val="20"/>
    </w:rPr>
  </w:style>
  <w:style w:type="paragraph" w:customStyle="1" w:styleId="138">
    <w:name w:val="xl61"/>
    <w:basedOn w:val="1"/>
    <w:uiPriority w:val="0"/>
    <w:pPr>
      <w:widowControl/>
      <w:pBdr>
        <w:top w:val="single" w:color="auto" w:sz="4" w:space="0"/>
        <w:left w:val="single" w:color="auto" w:sz="4" w:space="0"/>
        <w:right w:val="single" w:color="auto" w:sz="4" w:space="0"/>
      </w:pBdr>
      <w:shd w:val="clear" w:color="auto" w:fill="E3E3E3"/>
      <w:spacing w:before="100" w:beforeAutospacing="1" w:after="100" w:afterAutospacing="1"/>
      <w:jc w:val="center"/>
    </w:pPr>
    <w:rPr>
      <w:rFonts w:ascii="华文中宋" w:hAnsi="华文中宋" w:eastAsia="华文中宋"/>
      <w:color w:val="000000"/>
      <w:kern w:val="0"/>
      <w:sz w:val="20"/>
      <w:szCs w:val="20"/>
    </w:rPr>
  </w:style>
  <w:style w:type="paragraph" w:customStyle="1" w:styleId="139">
    <w:name w:val="xl62"/>
    <w:basedOn w:val="1"/>
    <w:uiPriority w:val="0"/>
    <w:pPr>
      <w:widowControl/>
      <w:pBdr>
        <w:top w:val="single" w:color="auto" w:sz="4" w:space="0"/>
        <w:left w:val="single" w:color="auto" w:sz="4" w:space="0"/>
        <w:bottom w:val="single" w:color="auto" w:sz="4" w:space="0"/>
        <w:right w:val="single" w:color="auto" w:sz="4" w:space="0"/>
      </w:pBdr>
      <w:shd w:val="clear" w:color="auto" w:fill="E3E3E3"/>
      <w:spacing w:before="100" w:beforeAutospacing="1" w:after="100" w:afterAutospacing="1"/>
      <w:jc w:val="center"/>
    </w:pPr>
    <w:rPr>
      <w:rFonts w:ascii="华文中宋" w:hAnsi="华文中宋" w:eastAsia="华文中宋"/>
      <w:color w:val="000000"/>
      <w:kern w:val="0"/>
      <w:sz w:val="20"/>
      <w:szCs w:val="20"/>
    </w:rPr>
  </w:style>
  <w:style w:type="paragraph" w:customStyle="1" w:styleId="140">
    <w:name w:val="xl63"/>
    <w:basedOn w:val="1"/>
    <w:uiPriority w:val="0"/>
    <w:pPr>
      <w:widowControl/>
      <w:pBdr>
        <w:top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1">
    <w:name w:val="xl64"/>
    <w:basedOn w:val="1"/>
    <w:uiPriority w:val="0"/>
    <w:pPr>
      <w:widowControl/>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2">
    <w:name w:val="xl65"/>
    <w:basedOn w:val="1"/>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3">
    <w:name w:val="xl66"/>
    <w:basedOn w:val="1"/>
    <w:uiPriority w:val="0"/>
    <w:pPr>
      <w:widowControl/>
      <w:pBdr>
        <w:top w:val="single" w:color="auto" w:sz="4" w:space="0"/>
        <w:bottom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4">
    <w:name w:val="xl67"/>
    <w:basedOn w:val="1"/>
    <w:uiPriority w:val="0"/>
    <w:pPr>
      <w:widowControl/>
      <w:pBdr>
        <w:top w:val="single" w:color="auto" w:sz="4" w:space="0"/>
        <w:bottom w:val="single" w:color="auto" w:sz="4" w:space="0"/>
        <w:right w:val="single" w:color="auto" w:sz="4" w:space="0"/>
      </w:pBdr>
      <w:shd w:val="clear" w:color="auto" w:fill="CCFFCC"/>
      <w:spacing w:before="100" w:beforeAutospacing="1" w:after="100" w:afterAutospacing="1"/>
      <w:jc w:val="center"/>
    </w:pPr>
    <w:rPr>
      <w:rFonts w:ascii="华文中宋" w:hAnsi="华文中宋" w:eastAsia="华文中宋"/>
      <w:color w:val="000000"/>
      <w:kern w:val="0"/>
      <w:sz w:val="20"/>
      <w:szCs w:val="20"/>
    </w:rPr>
  </w:style>
  <w:style w:type="paragraph" w:customStyle="1" w:styleId="145">
    <w:name w:val="样式 标题 1 + 两端对齐"/>
    <w:basedOn w:val="2"/>
    <w:uiPriority w:val="0"/>
    <w:pPr>
      <w:tabs>
        <w:tab w:val="left" w:pos="0"/>
      </w:tabs>
      <w:spacing w:before="100" w:after="100" w:line="800" w:lineRule="exact"/>
      <w:ind w:left="998" w:hanging="431"/>
    </w:pPr>
    <w:rPr>
      <w:rFonts w:eastAsia="黑体"/>
      <w:sz w:val="36"/>
      <w:szCs w:val="20"/>
    </w:rPr>
  </w:style>
  <w:style w:type="paragraph" w:customStyle="1" w:styleId="146">
    <w:name w:val="目录用"/>
    <w:basedOn w:val="39"/>
    <w:next w:val="39"/>
    <w:uiPriority w:val="0"/>
    <w:pPr>
      <w:spacing w:line="440" w:lineRule="exact"/>
      <w:ind w:left="567" w:leftChars="0"/>
      <w:jc w:val="left"/>
    </w:pPr>
    <w:rPr>
      <w:rFonts w:eastAsia="仿宋_GB2312"/>
      <w:smallCaps/>
      <w:sz w:val="32"/>
    </w:rPr>
  </w:style>
  <w:style w:type="paragraph" w:customStyle="1" w:styleId="147">
    <w:name w:val="样式 标题 4 + 红色"/>
    <w:basedOn w:val="6"/>
    <w:uiPriority w:val="0"/>
    <w:pPr>
      <w:widowControl w:val="0"/>
      <w:tabs>
        <w:tab w:val="left" w:pos="0"/>
      </w:tabs>
      <w:spacing w:beforeLines="0" w:line="376" w:lineRule="auto"/>
      <w:ind w:firstLine="567"/>
    </w:pPr>
    <w:rPr>
      <w:rFonts w:ascii="Arial" w:hAnsi="Arial" w:eastAsia="宋体"/>
      <w:b/>
      <w:color w:val="FF0000"/>
      <w:sz w:val="30"/>
      <w:szCs w:val="30"/>
    </w:rPr>
  </w:style>
  <w:style w:type="paragraph" w:customStyle="1" w:styleId="148">
    <w:name w:val="二号标题"/>
    <w:basedOn w:val="1"/>
    <w:next w:val="1"/>
    <w:uiPriority w:val="0"/>
    <w:pPr>
      <w:jc w:val="center"/>
    </w:pPr>
    <w:rPr>
      <w:rFonts w:ascii="Arial Unicode MS" w:hAnsi="Arial Unicode MS" w:eastAsia="黑体"/>
      <w:sz w:val="44"/>
      <w:szCs w:val="44"/>
    </w:rPr>
  </w:style>
  <w:style w:type="paragraph" w:customStyle="1" w:styleId="149">
    <w:name w:val="样式 标题 4 + 段前: 0 磅 段后: 0 磅 行距: 单倍行距"/>
    <w:basedOn w:val="6"/>
    <w:uiPriority w:val="0"/>
    <w:pPr>
      <w:widowControl w:val="0"/>
      <w:spacing w:beforeLines="0" w:line="240" w:lineRule="auto"/>
    </w:pPr>
    <w:rPr>
      <w:rFonts w:ascii="Arial" w:hAnsi="Arial" w:eastAsia="宋体"/>
      <w:b/>
      <w:color w:val="auto"/>
    </w:rPr>
  </w:style>
  <w:style w:type="paragraph" w:customStyle="1" w:styleId="150">
    <w:name w:val="首行缩进正文"/>
    <w:basedOn w:val="1"/>
    <w:uiPriority w:val="0"/>
    <w:rPr>
      <w:sz w:val="30"/>
      <w:szCs w:val="30"/>
    </w:rPr>
  </w:style>
  <w:style w:type="paragraph" w:customStyle="1" w:styleId="151">
    <w:name w:val="表标题"/>
    <w:basedOn w:val="1"/>
    <w:next w:val="150"/>
    <w:uiPriority w:val="0"/>
    <w:rPr>
      <w:rFonts w:eastAsia="黑体"/>
      <w:szCs w:val="28"/>
    </w:rPr>
  </w:style>
  <w:style w:type="paragraph" w:customStyle="1" w:styleId="152">
    <w:name w:val="样式 标题 2 + 宋体 四号 段前: 5 磅 段后: 5 磅 行距: 固定值 25 磅"/>
    <w:basedOn w:val="3"/>
    <w:uiPriority w:val="0"/>
    <w:pPr>
      <w:tabs>
        <w:tab w:val="clear" w:pos="900"/>
      </w:tabs>
      <w:spacing w:before="100" w:after="100" w:line="240" w:lineRule="auto"/>
    </w:pPr>
    <w:rPr>
      <w:rFonts w:ascii="宋体" w:hAnsi="宋体" w:eastAsia="宋体"/>
      <w:bCs/>
      <w:color w:val="000000"/>
      <w:sz w:val="28"/>
      <w:szCs w:val="28"/>
    </w:rPr>
  </w:style>
  <w:style w:type="paragraph" w:customStyle="1" w:styleId="153">
    <w:name w:val="表格1"/>
    <w:basedOn w:val="1"/>
    <w:link w:val="502"/>
    <w:uiPriority w:val="0"/>
    <w:pPr>
      <w:widowControl/>
      <w:tabs>
        <w:tab w:val="left" w:pos="540"/>
      </w:tabs>
      <w:ind w:right="-33" w:rightChars="-33"/>
      <w:jc w:val="left"/>
    </w:pPr>
    <w:rPr>
      <w:sz w:val="21"/>
      <w:szCs w:val="21"/>
    </w:rPr>
  </w:style>
  <w:style w:type="character" w:customStyle="1" w:styleId="154">
    <w:name w:val="正文文本缩进 Char"/>
    <w:uiPriority w:val="99"/>
    <w:rPr>
      <w:rFonts w:eastAsia="宋体"/>
      <w:kern w:val="2"/>
      <w:sz w:val="30"/>
      <w:szCs w:val="30"/>
      <w:lang w:val="en-US" w:eastAsia="zh-CN" w:bidi="ar-SA"/>
    </w:rPr>
  </w:style>
  <w:style w:type="character" w:customStyle="1" w:styleId="155">
    <w:name w:val="0031"/>
    <w:uiPriority w:val="0"/>
    <w:rPr>
      <w:sz w:val="28"/>
      <w:szCs w:val="28"/>
    </w:rPr>
  </w:style>
  <w:style w:type="character" w:customStyle="1" w:styleId="156">
    <w:name w:val="p41"/>
    <w:uiPriority w:val="0"/>
    <w:rPr>
      <w:spacing w:val="31680"/>
      <w:sz w:val="22"/>
      <w:szCs w:val="22"/>
    </w:rPr>
  </w:style>
  <w:style w:type="paragraph" w:customStyle="1" w:styleId="157">
    <w:name w:val="表格五"/>
    <w:basedOn w:val="20"/>
    <w:uiPriority w:val="0"/>
    <w:pPr>
      <w:spacing w:line="360" w:lineRule="exact"/>
      <w:ind w:firstLine="0"/>
      <w:jc w:val="center"/>
    </w:pPr>
    <w:rPr>
      <w:color w:val="000000"/>
      <w:sz w:val="21"/>
      <w:szCs w:val="30"/>
    </w:rPr>
  </w:style>
  <w:style w:type="paragraph" w:customStyle="1" w:styleId="158">
    <w:name w:val="样式2"/>
    <w:basedOn w:val="25"/>
    <w:uiPriority w:val="0"/>
    <w:pPr>
      <w:spacing w:line="580" w:lineRule="exact"/>
      <w:ind w:right="12" w:rightChars="12"/>
      <w:jc w:val="center"/>
    </w:pPr>
    <w:rPr>
      <w:rFonts w:hAnsi="Times New Roman" w:eastAsia="楷体_GB2312" w:cs="Courier New"/>
      <w:b/>
      <w:sz w:val="30"/>
      <w:szCs w:val="21"/>
    </w:rPr>
  </w:style>
  <w:style w:type="paragraph" w:customStyle="1" w:styleId="159">
    <w:name w:val="font0"/>
    <w:basedOn w:val="1"/>
    <w:uiPriority w:val="0"/>
    <w:pPr>
      <w:widowControl/>
      <w:spacing w:before="100" w:beforeAutospacing="1" w:after="100" w:afterAutospacing="1"/>
      <w:jc w:val="left"/>
    </w:pPr>
    <w:rPr>
      <w:rFonts w:hint="eastAsia"/>
      <w:kern w:val="0"/>
    </w:rPr>
  </w:style>
  <w:style w:type="paragraph" w:customStyle="1" w:styleId="160">
    <w:name w:val="样式 样式 标题 1 + 两端对齐 段前: 0 磅 段后: 0 磅 行距: 固定值 27 磅 + 宋体 小三 黑色 段前:..."/>
    <w:basedOn w:val="132"/>
    <w:uiPriority w:val="0"/>
    <w:pPr>
      <w:spacing w:before="156" w:after="156"/>
    </w:pPr>
    <w:rPr>
      <w:rFonts w:ascii="宋体" w:hAnsi="宋体"/>
      <w:color w:val="000000"/>
      <w:sz w:val="30"/>
    </w:rPr>
  </w:style>
  <w:style w:type="paragraph" w:customStyle="1" w:styleId="161">
    <w:name w:val="样式 样式 样式 标题 1 + 两端对齐 段前: 0 磅 段后: 0 磅 行距: 固定值 27 磅 + 宋体 小三 黑色 段前:..."/>
    <w:basedOn w:val="160"/>
    <w:uiPriority w:val="0"/>
    <w:pPr>
      <w:spacing w:before="120" w:after="120"/>
    </w:pPr>
    <w:rPr>
      <w:sz w:val="32"/>
    </w:rPr>
  </w:style>
  <w:style w:type="paragraph" w:customStyle="1" w:styleId="162">
    <w:name w:val="正文文字缩进"/>
    <w:basedOn w:val="1"/>
    <w:uiPriority w:val="0"/>
    <w:pPr>
      <w:widowControl/>
      <w:spacing w:before="100" w:beforeAutospacing="1" w:after="100" w:afterAutospacing="1"/>
      <w:jc w:val="left"/>
    </w:pPr>
    <w:rPr>
      <w:rFonts w:cs="宋体"/>
      <w:kern w:val="0"/>
    </w:rPr>
  </w:style>
  <w:style w:type="paragraph" w:customStyle="1" w:styleId="163">
    <w:name w:val="普通文字"/>
    <w:basedOn w:val="1"/>
    <w:uiPriority w:val="0"/>
    <w:pPr>
      <w:widowControl/>
      <w:spacing w:before="100" w:beforeAutospacing="1" w:after="100" w:afterAutospacing="1"/>
      <w:jc w:val="left"/>
    </w:pPr>
    <w:rPr>
      <w:rFonts w:cs="宋体"/>
      <w:kern w:val="0"/>
    </w:rPr>
  </w:style>
  <w:style w:type="paragraph" w:customStyle="1" w:styleId="164">
    <w:name w:val="样式 标题 2 + 段前: 0.5 行"/>
    <w:basedOn w:val="3"/>
    <w:uiPriority w:val="0"/>
    <w:pPr>
      <w:tabs>
        <w:tab w:val="left" w:pos="0"/>
        <w:tab w:val="clear" w:pos="900"/>
      </w:tabs>
      <w:spacing w:beforeLines="50" w:line="600" w:lineRule="exact"/>
      <w:ind w:firstLine="567" w:firstLineChars="200"/>
    </w:pPr>
    <w:rPr>
      <w:rFonts w:ascii="Arial" w:hAnsi="Arial" w:cs="宋体"/>
      <w:bCs/>
      <w:sz w:val="32"/>
    </w:rPr>
  </w:style>
  <w:style w:type="paragraph" w:customStyle="1" w:styleId="165">
    <w:name w:val="样式 标题 1 + 下划线 红色"/>
    <w:basedOn w:val="2"/>
    <w:uiPriority w:val="0"/>
    <w:pPr>
      <w:tabs>
        <w:tab w:val="left" w:pos="0"/>
      </w:tabs>
      <w:spacing w:before="100" w:after="100" w:line="800" w:lineRule="exact"/>
      <w:ind w:firstLine="567"/>
    </w:pPr>
    <w:rPr>
      <w:rFonts w:eastAsia="黑体"/>
      <w:sz w:val="32"/>
      <w:szCs w:val="32"/>
      <w:u w:val="single" w:color="FF0000"/>
    </w:rPr>
  </w:style>
  <w:style w:type="paragraph" w:customStyle="1" w:styleId="166">
    <w:name w:val="样式 标题 4 + 宋体 红色"/>
    <w:basedOn w:val="6"/>
    <w:uiPriority w:val="0"/>
    <w:pPr>
      <w:widowControl w:val="0"/>
      <w:tabs>
        <w:tab w:val="left" w:pos="0"/>
      </w:tabs>
      <w:spacing w:beforeLines="0" w:line="520" w:lineRule="exact"/>
      <w:ind w:firstLine="567" w:firstLineChars="200"/>
    </w:pPr>
    <w:rPr>
      <w:rFonts w:ascii="宋体" w:hAnsi="宋体" w:eastAsia="宋体"/>
      <w:b/>
      <w:color w:val="FF0000"/>
      <w:sz w:val="30"/>
    </w:rPr>
  </w:style>
  <w:style w:type="paragraph" w:customStyle="1" w:styleId="167">
    <w:name w:val="样式 标题 1 + 下划线 粉红"/>
    <w:basedOn w:val="2"/>
    <w:uiPriority w:val="0"/>
    <w:pPr>
      <w:tabs>
        <w:tab w:val="left" w:pos="0"/>
      </w:tabs>
      <w:spacing w:before="100" w:after="100" w:line="800" w:lineRule="exact"/>
      <w:ind w:firstLine="567"/>
    </w:pPr>
    <w:rPr>
      <w:rFonts w:eastAsia="黑体"/>
      <w:sz w:val="32"/>
      <w:szCs w:val="32"/>
      <w:u w:val="single" w:color="FF00FF"/>
    </w:rPr>
  </w:style>
  <w:style w:type="character" w:customStyle="1" w:styleId="168">
    <w:name w:val="样式 标题 1 + 下划线 粉红 Char"/>
    <w:uiPriority w:val="0"/>
    <w:rPr>
      <w:rFonts w:eastAsia="黑体"/>
      <w:b/>
      <w:bCs/>
      <w:kern w:val="44"/>
      <w:sz w:val="32"/>
      <w:szCs w:val="32"/>
      <w:u w:val="single" w:color="FF00FF"/>
      <w:lang w:val="en-US" w:eastAsia="zh-CN" w:bidi="ar-SA"/>
    </w:rPr>
  </w:style>
  <w:style w:type="character" w:customStyle="1" w:styleId="169">
    <w:name w:val="wenzcontent1"/>
    <w:uiPriority w:val="0"/>
    <w:rPr>
      <w:rFonts w:hint="default" w:ascii="Arial" w:hAnsi="Arial" w:cs="Arial"/>
      <w:color w:val="12477D"/>
      <w:sz w:val="20"/>
      <w:szCs w:val="20"/>
      <w:u w:val="none"/>
    </w:rPr>
  </w:style>
  <w:style w:type="paragraph" w:customStyle="1" w:styleId="170">
    <w:name w:val="默认段落字体 Para Char"/>
    <w:basedOn w:val="1"/>
    <w:uiPriority w:val="0"/>
    <w:pPr>
      <w:spacing w:line="360" w:lineRule="auto"/>
    </w:pPr>
    <w:rPr>
      <w:rFonts w:cs="宋体"/>
    </w:rPr>
  </w:style>
  <w:style w:type="paragraph" w:customStyle="1" w:styleId="171">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2">
    <w:name w:val="Char Char Char Char Char Char Char Char Char1 Char Char Char"/>
    <w:basedOn w:val="1"/>
    <w:uiPriority w:val="0"/>
    <w:pPr>
      <w:spacing w:line="360" w:lineRule="auto"/>
    </w:pPr>
    <w:rPr>
      <w:rFonts w:cs="宋体"/>
    </w:rPr>
  </w:style>
  <w:style w:type="paragraph" w:customStyle="1" w:styleId="173">
    <w:name w:val="Char Char Char Char Char Char Char Char Char1 Char Char Char Char"/>
    <w:basedOn w:val="1"/>
    <w:uiPriority w:val="0"/>
    <w:pPr>
      <w:spacing w:line="360" w:lineRule="auto"/>
    </w:pPr>
    <w:rPr>
      <w:rFonts w:cs="宋体"/>
    </w:rPr>
  </w:style>
  <w:style w:type="character" w:customStyle="1" w:styleId="174">
    <w:name w:val="zw"/>
    <w:basedOn w:val="55"/>
    <w:uiPriority w:val="0"/>
  </w:style>
  <w:style w:type="paragraph" w:customStyle="1" w:styleId="175">
    <w:name w:val="Char Char Char Char Char Char Char Char Char1 Char Char Char Char Char Char"/>
    <w:basedOn w:val="1"/>
    <w:uiPriority w:val="0"/>
    <w:pPr>
      <w:spacing w:line="360" w:lineRule="auto"/>
    </w:pPr>
    <w:rPr>
      <w:rFonts w:cs="宋体"/>
    </w:rPr>
  </w:style>
  <w:style w:type="paragraph" w:customStyle="1" w:styleId="176">
    <w:name w:val="Char Char Char Char Char Char Char Char Char1 Char Char Char Char Char Char Char Char Char Char Char Char"/>
    <w:basedOn w:val="1"/>
    <w:uiPriority w:val="0"/>
    <w:pPr>
      <w:spacing w:line="360" w:lineRule="auto"/>
    </w:pPr>
    <w:rPr>
      <w:rFonts w:cs="宋体"/>
    </w:rPr>
  </w:style>
  <w:style w:type="paragraph" w:customStyle="1" w:styleId="177">
    <w:name w:val="Char Char Char Char Char Char Char Char Char Char Char Char Char Char Char Char Char Char Char Char Char Char Char Char Char"/>
    <w:basedOn w:val="1"/>
    <w:uiPriority w:val="0"/>
    <w:pPr>
      <w:spacing w:line="360" w:lineRule="auto"/>
    </w:pPr>
    <w:rPr>
      <w:rFonts w:cs="宋体"/>
    </w:rPr>
  </w:style>
  <w:style w:type="paragraph" w:customStyle="1" w:styleId="178">
    <w:name w:val="表号 Char"/>
    <w:basedOn w:val="1"/>
    <w:uiPriority w:val="0"/>
    <w:pPr>
      <w:snapToGrid w:val="0"/>
      <w:ind w:firstLine="480"/>
    </w:pPr>
    <w:rPr>
      <w:kern w:val="32"/>
      <w:szCs w:val="20"/>
    </w:rPr>
  </w:style>
  <w:style w:type="paragraph" w:customStyle="1" w:styleId="179">
    <w:name w:val="Char Char Char1 Char Char Char Char Char Char Char Char Char"/>
    <w:basedOn w:val="1"/>
    <w:uiPriority w:val="0"/>
    <w:pPr>
      <w:spacing w:line="360" w:lineRule="auto"/>
    </w:pPr>
    <w:rPr>
      <w:rFonts w:cs="宋体"/>
    </w:rPr>
  </w:style>
  <w:style w:type="paragraph" w:customStyle="1" w:styleId="180">
    <w:name w:val="1"/>
    <w:basedOn w:val="1"/>
    <w:next w:val="20"/>
    <w:uiPriority w:val="0"/>
    <w:pPr>
      <w:spacing w:line="440" w:lineRule="exact"/>
      <w:ind w:firstLine="539"/>
    </w:pPr>
    <w:rPr>
      <w:b/>
      <w:spacing w:val="4"/>
      <w:szCs w:val="20"/>
    </w:rPr>
  </w:style>
  <w:style w:type="paragraph" w:customStyle="1" w:styleId="181">
    <w:name w:val="Char Char Char Char Char Char Char"/>
    <w:basedOn w:val="1"/>
    <w:uiPriority w:val="0"/>
    <w:pPr>
      <w:spacing w:line="360" w:lineRule="auto"/>
    </w:pPr>
    <w:rPr>
      <w:rFonts w:cs="宋体"/>
    </w:rPr>
  </w:style>
  <w:style w:type="paragraph" w:customStyle="1" w:styleId="182">
    <w:name w:val="Char Char Char Char Char Char Char Char Char Char Char Char Char"/>
    <w:basedOn w:val="1"/>
    <w:uiPriority w:val="0"/>
    <w:pPr>
      <w:spacing w:line="360" w:lineRule="auto"/>
    </w:pPr>
    <w:rPr>
      <w:rFonts w:cs="宋体"/>
    </w:rPr>
  </w:style>
  <w:style w:type="paragraph" w:customStyle="1" w:styleId="183">
    <w:name w:val="Char Char Char Char Char Char Char Char Char Char Char Char Char Char Char Char Char Char1 Char"/>
    <w:basedOn w:val="1"/>
    <w:uiPriority w:val="0"/>
    <w:pPr>
      <w:spacing w:line="360" w:lineRule="auto"/>
    </w:pPr>
    <w:rPr>
      <w:rFonts w:cs="宋体"/>
    </w:rPr>
  </w:style>
  <w:style w:type="paragraph" w:customStyle="1" w:styleId="184">
    <w:name w:val="Char Char Char1 Char Char Char Char Char Char Char"/>
    <w:basedOn w:val="1"/>
    <w:uiPriority w:val="0"/>
    <w:pPr>
      <w:spacing w:line="360" w:lineRule="auto"/>
    </w:pPr>
    <w:rPr>
      <w:rFonts w:cs="宋体"/>
    </w:rPr>
  </w:style>
  <w:style w:type="paragraph" w:customStyle="1" w:styleId="185">
    <w:name w:val="Char Char Char Char Char Char Char Char Char Char Char Char Char Char Char Char1"/>
    <w:basedOn w:val="1"/>
    <w:uiPriority w:val="0"/>
    <w:rPr>
      <w:sz w:val="21"/>
    </w:rPr>
  </w:style>
  <w:style w:type="paragraph" w:customStyle="1" w:styleId="186">
    <w:name w:val="Char2"/>
    <w:basedOn w:val="2"/>
    <w:next w:val="2"/>
    <w:uiPriority w:val="0"/>
    <w:pPr>
      <w:tabs>
        <w:tab w:val="left" w:pos="700"/>
      </w:tabs>
      <w:adjustRightInd w:val="0"/>
      <w:snapToGrid w:val="0"/>
      <w:spacing w:line="360" w:lineRule="exact"/>
      <w:jc w:val="center"/>
      <w:outlineLvl w:val="9"/>
    </w:pPr>
    <w:rPr>
      <w:rFonts w:ascii="仿宋_GB2312" w:hAnsi="Verdana" w:eastAsia="仿宋_GB2312"/>
      <w:snapToGrid w:val="0"/>
      <w:kern w:val="0"/>
      <w:szCs w:val="28"/>
      <w:lang w:eastAsia="en-US"/>
    </w:rPr>
  </w:style>
  <w:style w:type="character" w:customStyle="1" w:styleId="187">
    <w:name w:val="标题 4 Char"/>
    <w:link w:val="6"/>
    <w:uiPriority w:val="0"/>
    <w:rPr>
      <w:rFonts w:eastAsia="黑体"/>
      <w:bCs/>
      <w:color w:val="000000"/>
      <w:kern w:val="2"/>
      <w:sz w:val="28"/>
      <w:szCs w:val="28"/>
      <w:lang w:val="en-US" w:eastAsia="zh-CN" w:bidi="ar-SA"/>
    </w:rPr>
  </w:style>
  <w:style w:type="character" w:customStyle="1" w:styleId="188">
    <w:name w:val="正文缩进 Char1"/>
    <w:link w:val="4"/>
    <w:uiPriority w:val="0"/>
    <w:rPr>
      <w:rFonts w:ascii="宋体" w:hAnsi="宋体" w:eastAsia="宋体"/>
      <w:kern w:val="2"/>
      <w:sz w:val="28"/>
      <w:szCs w:val="24"/>
      <w:lang w:val="en-US" w:eastAsia="zh-CN" w:bidi="ar-SA"/>
    </w:rPr>
  </w:style>
  <w:style w:type="paragraph" w:customStyle="1" w:styleId="189">
    <w:name w:val="3"/>
    <w:basedOn w:val="1"/>
    <w:uiPriority w:val="0"/>
    <w:pPr>
      <w:adjustRightInd w:val="0"/>
      <w:ind w:firstLine="482"/>
      <w:jc w:val="left"/>
      <w:textAlignment w:val="baseline"/>
    </w:pPr>
    <w:rPr>
      <w:kern w:val="0"/>
      <w:szCs w:val="20"/>
    </w:rPr>
  </w:style>
  <w:style w:type="paragraph" w:customStyle="1" w:styleId="190">
    <w:name w:val="表头"/>
    <w:next w:val="191"/>
    <w:link w:val="193"/>
    <w:uiPriority w:val="0"/>
    <w:pPr>
      <w:widowControl w:val="0"/>
      <w:adjustRightInd w:val="0"/>
      <w:snapToGrid w:val="0"/>
      <w:jc w:val="center"/>
      <w:textAlignment w:val="baseline"/>
    </w:pPr>
    <w:rPr>
      <w:rFonts w:ascii="Times New Roman" w:hAnsi="Times New Roman" w:eastAsia="黑体" w:cs="Times New Roman"/>
      <w:sz w:val="24"/>
      <w:lang w:val="en-US" w:eastAsia="zh-CN" w:bidi="ar-SA"/>
    </w:rPr>
  </w:style>
  <w:style w:type="paragraph" w:customStyle="1" w:styleId="191">
    <w:name w:val="表内容"/>
    <w:link w:val="192"/>
    <w:uiPriority w:val="0"/>
    <w:pPr>
      <w:widowControl w:val="0"/>
      <w:adjustRightInd w:val="0"/>
      <w:snapToGrid w:val="0"/>
      <w:textAlignment w:val="baseline"/>
    </w:pPr>
    <w:rPr>
      <w:rFonts w:ascii="Times New Roman" w:hAnsi="Times New Roman" w:eastAsia="楷体_GB2312" w:cs="Times New Roman"/>
      <w:sz w:val="24"/>
      <w:lang w:val="en-US" w:eastAsia="zh-CN" w:bidi="ar-SA"/>
    </w:rPr>
  </w:style>
  <w:style w:type="character" w:customStyle="1" w:styleId="192">
    <w:name w:val="表内容 Char"/>
    <w:link w:val="191"/>
    <w:uiPriority w:val="0"/>
    <w:rPr>
      <w:rFonts w:eastAsia="楷体_GB2312"/>
      <w:sz w:val="24"/>
      <w:lang w:val="en-US" w:eastAsia="zh-CN" w:bidi="ar-SA"/>
    </w:rPr>
  </w:style>
  <w:style w:type="character" w:customStyle="1" w:styleId="193">
    <w:name w:val="表头 Char"/>
    <w:link w:val="190"/>
    <w:uiPriority w:val="0"/>
    <w:rPr>
      <w:rFonts w:eastAsia="黑体"/>
      <w:sz w:val="24"/>
      <w:lang w:val="en-US" w:eastAsia="zh-CN" w:bidi="ar-SA"/>
    </w:rPr>
  </w:style>
  <w:style w:type="paragraph" w:customStyle="1" w:styleId="194">
    <w:name w:val="图内容"/>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195">
    <w:name w:val="正文1"/>
    <w:basedOn w:val="1"/>
    <w:uiPriority w:val="0"/>
    <w:pPr>
      <w:adjustRightInd w:val="0"/>
      <w:spacing w:after="120" w:line="360" w:lineRule="atLeast"/>
      <w:jc w:val="center"/>
      <w:textAlignment w:val="baseline"/>
    </w:pPr>
    <w:rPr>
      <w:kern w:val="0"/>
      <w:szCs w:val="20"/>
    </w:rPr>
  </w:style>
  <w:style w:type="paragraph" w:customStyle="1" w:styleId="196">
    <w:name w:val="注释"/>
    <w:basedOn w:val="1"/>
    <w:link w:val="390"/>
    <w:uiPriority w:val="0"/>
    <w:pPr>
      <w:adjustRightInd w:val="0"/>
      <w:snapToGrid w:val="0"/>
      <w:spacing w:afterLines="50" w:line="288" w:lineRule="auto"/>
    </w:pPr>
  </w:style>
  <w:style w:type="paragraph" w:customStyle="1" w:styleId="197">
    <w:name w:val="报告正文"/>
    <w:basedOn w:val="1"/>
    <w:link w:val="236"/>
    <w:uiPriority w:val="0"/>
    <w:pPr>
      <w:adjustRightInd w:val="0"/>
      <w:snapToGrid w:val="0"/>
      <w:spacing w:line="300" w:lineRule="auto"/>
    </w:pPr>
    <w:rPr>
      <w:szCs w:val="20"/>
    </w:rPr>
  </w:style>
  <w:style w:type="paragraph" w:customStyle="1" w:styleId="198">
    <w:name w:val="样式 标题 7 + 段前: 0.5 行"/>
    <w:basedOn w:val="9"/>
    <w:uiPriority w:val="0"/>
    <w:pPr>
      <w:keepLines w:val="0"/>
      <w:widowControl w:val="0"/>
      <w:tabs>
        <w:tab w:val="left" w:pos="360"/>
      </w:tabs>
      <w:snapToGrid w:val="0"/>
      <w:spacing w:before="0" w:after="0" w:line="300" w:lineRule="auto"/>
      <w:jc w:val="center"/>
    </w:pPr>
    <w:rPr>
      <w:rFonts w:ascii="黑体" w:eastAsia="黑体"/>
      <w:b w:val="0"/>
      <w:bCs w:val="0"/>
      <w:color w:val="auto"/>
      <w:szCs w:val="20"/>
    </w:rPr>
  </w:style>
  <w:style w:type="paragraph" w:customStyle="1" w:styleId="199">
    <w:name w:val="表中"/>
    <w:basedOn w:val="1"/>
    <w:uiPriority w:val="0"/>
    <w:pPr>
      <w:snapToGrid w:val="0"/>
      <w:jc w:val="center"/>
    </w:pPr>
    <w:rPr>
      <w:sz w:val="21"/>
      <w:szCs w:val="21"/>
    </w:rPr>
  </w:style>
  <w:style w:type="paragraph" w:customStyle="1" w:styleId="200">
    <w:name w:val="小表左"/>
    <w:basedOn w:val="1"/>
    <w:uiPriority w:val="0"/>
    <w:pPr>
      <w:keepNext/>
      <w:adjustRightInd w:val="0"/>
      <w:snapToGrid w:val="0"/>
      <w:jc w:val="center"/>
    </w:pPr>
    <w:rPr>
      <w:kern w:val="0"/>
      <w:sz w:val="18"/>
      <w:szCs w:val="18"/>
    </w:rPr>
  </w:style>
  <w:style w:type="paragraph" w:customStyle="1" w:styleId="201">
    <w:name w:val="表左"/>
    <w:basedOn w:val="1"/>
    <w:uiPriority w:val="0"/>
    <w:pPr>
      <w:keepNext/>
      <w:adjustRightInd w:val="0"/>
      <w:snapToGrid w:val="0"/>
      <w:spacing w:beforeLines="50" w:line="300" w:lineRule="auto"/>
      <w:ind w:right="63" w:rightChars="30"/>
      <w:jc w:val="center"/>
    </w:pPr>
    <w:rPr>
      <w:szCs w:val="20"/>
    </w:rPr>
  </w:style>
  <w:style w:type="paragraph" w:customStyle="1" w:styleId="202">
    <w:name w:val="标准"/>
    <w:basedOn w:val="1"/>
    <w:uiPriority w:val="0"/>
    <w:pPr>
      <w:adjustRightInd w:val="0"/>
      <w:spacing w:line="312" w:lineRule="atLeast"/>
      <w:jc w:val="center"/>
      <w:textAlignment w:val="baseline"/>
    </w:pPr>
    <w:rPr>
      <w:kern w:val="0"/>
      <w:sz w:val="21"/>
      <w:szCs w:val="20"/>
    </w:rPr>
  </w:style>
  <w:style w:type="paragraph" w:customStyle="1" w:styleId="203">
    <w:name w:val="普通2"/>
    <w:basedOn w:val="25"/>
    <w:uiPriority w:val="0"/>
    <w:pPr>
      <w:tabs>
        <w:tab w:val="left" w:pos="578"/>
      </w:tabs>
      <w:ind w:left="-155" w:leftChars="-74" w:right="-118" w:rightChars="-56"/>
      <w:jc w:val="center"/>
    </w:pPr>
    <w:rPr>
      <w:rFonts w:hAnsi="宋体" w:cs="仿宋_GB2312"/>
      <w:color w:val="000000"/>
    </w:rPr>
  </w:style>
  <w:style w:type="paragraph" w:customStyle="1" w:styleId="204">
    <w:name w:val="正5中"/>
    <w:basedOn w:val="1"/>
    <w:uiPriority w:val="0"/>
    <w:pPr>
      <w:spacing w:line="360" w:lineRule="exact"/>
      <w:ind w:right="-63" w:rightChars="-30"/>
      <w:jc w:val="center"/>
    </w:pPr>
    <w:rPr>
      <w:sz w:val="21"/>
    </w:rPr>
  </w:style>
  <w:style w:type="paragraph" w:customStyle="1" w:styleId="205">
    <w:name w:val="表名"/>
    <w:uiPriority w:val="0"/>
    <w:pPr>
      <w:widowControl w:val="0"/>
      <w:adjustRightInd w:val="0"/>
      <w:snapToGrid w:val="0"/>
      <w:spacing w:beforeLines="100"/>
      <w:ind w:right="284" w:firstLine="140" w:firstLineChars="50"/>
      <w:jc w:val="both"/>
      <w:textAlignment w:val="baseline"/>
    </w:pPr>
    <w:rPr>
      <w:rFonts w:ascii="Times New Roman" w:hAnsi="Times New Roman" w:eastAsia="黑体" w:cs="Times New Roman"/>
      <w:sz w:val="28"/>
      <w:szCs w:val="28"/>
      <w:lang w:val="en-US" w:eastAsia="zh-CN" w:bidi="ar-SA"/>
    </w:rPr>
  </w:style>
  <w:style w:type="paragraph" w:customStyle="1" w:styleId="206">
    <w:name w:val="标题－2"/>
    <w:basedOn w:val="3"/>
    <w:uiPriority w:val="0"/>
    <w:pPr>
      <w:tabs>
        <w:tab w:val="clear" w:pos="900"/>
      </w:tabs>
      <w:adjustRightInd w:val="0"/>
      <w:snapToGrid w:val="0"/>
      <w:spacing w:line="360" w:lineRule="auto"/>
      <w:jc w:val="left"/>
      <w:textAlignment w:val="baseline"/>
    </w:pPr>
    <w:rPr>
      <w:b/>
      <w:color w:val="0000FF"/>
      <w:kern w:val="0"/>
      <w:sz w:val="28"/>
      <w:szCs w:val="32"/>
    </w:rPr>
  </w:style>
  <w:style w:type="paragraph" w:customStyle="1" w:styleId="207">
    <w:name w:val="标题－3"/>
    <w:basedOn w:val="1"/>
    <w:uiPriority w:val="0"/>
    <w:pPr>
      <w:keepNext/>
      <w:keepLines/>
      <w:adjustRightInd w:val="0"/>
      <w:snapToGrid w:val="0"/>
      <w:spacing w:line="360" w:lineRule="auto"/>
      <w:jc w:val="left"/>
      <w:outlineLvl w:val="2"/>
    </w:pPr>
    <w:rPr>
      <w:rFonts w:eastAsia="黑体"/>
      <w:color w:val="FF00FF"/>
    </w:rPr>
  </w:style>
  <w:style w:type="paragraph" w:customStyle="1" w:styleId="208">
    <w:name w:val="正文 + 宋体"/>
    <w:basedOn w:val="1"/>
    <w:link w:val="498"/>
    <w:uiPriority w:val="0"/>
    <w:pPr>
      <w:adjustRightInd w:val="0"/>
      <w:snapToGrid w:val="0"/>
      <w:spacing w:line="360" w:lineRule="auto"/>
      <w:ind w:firstLine="420"/>
    </w:pPr>
    <w:rPr>
      <w:szCs w:val="28"/>
    </w:rPr>
  </w:style>
  <w:style w:type="character" w:customStyle="1" w:styleId="209">
    <w:name w:val="highlight1"/>
    <w:uiPriority w:val="0"/>
    <w:rPr>
      <w:sz w:val="21"/>
      <w:szCs w:val="21"/>
    </w:rPr>
  </w:style>
  <w:style w:type="paragraph" w:customStyle="1" w:styleId="210">
    <w:name w:val="xxq"/>
    <w:basedOn w:val="4"/>
    <w:link w:val="211"/>
    <w:uiPriority w:val="0"/>
    <w:pPr>
      <w:adjustRightInd w:val="0"/>
      <w:snapToGrid w:val="0"/>
      <w:spacing w:beforeLines="50" w:line="360" w:lineRule="auto"/>
      <w:ind w:firstLine="424"/>
    </w:pPr>
    <w:rPr>
      <w:snapToGrid w:val="0"/>
      <w:kern w:val="0"/>
    </w:rPr>
  </w:style>
  <w:style w:type="character" w:customStyle="1" w:styleId="211">
    <w:name w:val="xxq Char"/>
    <w:link w:val="210"/>
    <w:uiPriority w:val="0"/>
    <w:rPr>
      <w:rFonts w:hAnsi="宋体" w:eastAsia="宋体"/>
      <w:snapToGrid w:val="0"/>
      <w:sz w:val="24"/>
      <w:szCs w:val="24"/>
      <w:lang w:val="en-US" w:eastAsia="zh-CN" w:bidi="ar-SA"/>
    </w:rPr>
  </w:style>
  <w:style w:type="character" w:customStyle="1" w:styleId="212">
    <w:name w:val="1.1标题 2 Char Char"/>
    <w:uiPriority w:val="0"/>
    <w:rPr>
      <w:rFonts w:ascii="黑体" w:eastAsia="黑体"/>
      <w:bCs/>
      <w:kern w:val="2"/>
      <w:sz w:val="30"/>
      <w:szCs w:val="28"/>
      <w:lang w:val="en-US" w:eastAsia="zh-CN" w:bidi="ar-SA"/>
    </w:rPr>
  </w:style>
  <w:style w:type="character" w:customStyle="1" w:styleId="213">
    <w:name w:val="style891"/>
    <w:uiPriority w:val="0"/>
    <w:rPr>
      <w:b/>
      <w:bCs/>
      <w:color w:val="FFFFFF"/>
      <w:sz w:val="18"/>
      <w:szCs w:val="18"/>
    </w:rPr>
  </w:style>
  <w:style w:type="paragraph" w:customStyle="1" w:styleId="214">
    <w:name w:val="样式4"/>
    <w:basedOn w:val="86"/>
    <w:uiPriority w:val="0"/>
    <w:pPr>
      <w:keepNext/>
      <w:keepLines/>
      <w:tabs>
        <w:tab w:val="clear" w:pos="1170"/>
      </w:tabs>
      <w:spacing w:beforeLines="50" w:line="300" w:lineRule="auto"/>
      <w:ind w:left="0" w:firstLine="0"/>
      <w:jc w:val="center"/>
      <w:outlineLvl w:val="0"/>
    </w:pPr>
    <w:rPr>
      <w:rFonts w:ascii="黑体" w:eastAsia="黑体"/>
      <w:b/>
      <w:bCs/>
      <w:kern w:val="44"/>
      <w:szCs w:val="28"/>
    </w:rPr>
  </w:style>
  <w:style w:type="paragraph" w:customStyle="1" w:styleId="215">
    <w:name w:val="Char1"/>
    <w:basedOn w:val="2"/>
    <w:next w:val="2"/>
    <w:uiPriority w:val="0"/>
    <w:pPr>
      <w:tabs>
        <w:tab w:val="left" w:pos="700"/>
      </w:tabs>
      <w:snapToGrid w:val="0"/>
      <w:spacing w:line="300" w:lineRule="auto"/>
    </w:pPr>
    <w:rPr>
      <w:rFonts w:ascii="仿宋_GB2312" w:hAnsi="Verdana" w:eastAsia="仿宋_GB2312"/>
      <w:b w:val="0"/>
      <w:snapToGrid w:val="0"/>
      <w:kern w:val="0"/>
      <w:szCs w:val="28"/>
      <w:lang w:eastAsia="en-US"/>
    </w:rPr>
  </w:style>
  <w:style w:type="character" w:customStyle="1" w:styleId="216">
    <w:name w:val="表内容 Char Char"/>
    <w:uiPriority w:val="0"/>
    <w:rPr>
      <w:rFonts w:eastAsia="宋体"/>
      <w:sz w:val="21"/>
      <w:lang w:val="en-US" w:eastAsia="zh-CN" w:bidi="ar-SA"/>
    </w:rPr>
  </w:style>
  <w:style w:type="paragraph" w:customStyle="1" w:styleId="217">
    <w:name w:val="Char1 Char Char"/>
    <w:basedOn w:val="1"/>
    <w:uiPriority w:val="0"/>
    <w:pPr>
      <w:ind w:left="-48"/>
    </w:pPr>
    <w:rPr>
      <w:sz w:val="21"/>
    </w:rPr>
  </w:style>
  <w:style w:type="paragraph" w:customStyle="1" w:styleId="218">
    <w:name w:val="样式 首行缩进:  2 字符1"/>
    <w:basedOn w:val="1"/>
    <w:uiPriority w:val="0"/>
    <w:pPr>
      <w:adjustRightInd w:val="0"/>
      <w:snapToGrid w:val="0"/>
      <w:spacing w:before="120" w:line="360" w:lineRule="auto"/>
    </w:pPr>
    <w:rPr>
      <w:rFonts w:cs="宋体"/>
      <w:snapToGrid w:val="0"/>
      <w:kern w:val="0"/>
      <w:szCs w:val="20"/>
    </w:rPr>
  </w:style>
  <w:style w:type="paragraph" w:customStyle="1" w:styleId="219">
    <w:name w:val="样式 样式 标题 21.11.1标题 2Major HeadingL2ËÑÇ¢ˆmÍ 2RSKH2hseHeading ...2..."/>
    <w:basedOn w:val="1"/>
    <w:uiPriority w:val="0"/>
    <w:pPr>
      <w:keepLines/>
      <w:tabs>
        <w:tab w:val="left" w:pos="4284"/>
      </w:tabs>
      <w:adjustRightInd w:val="0"/>
      <w:snapToGrid w:val="0"/>
      <w:spacing w:beforeLines="50" w:after="60" w:line="360" w:lineRule="auto"/>
      <w:textAlignment w:val="baseline"/>
      <w:outlineLvl w:val="1"/>
    </w:pPr>
    <w:rPr>
      <w:rFonts w:eastAsia="黑体" w:cs="宋体"/>
      <w:snapToGrid w:val="0"/>
      <w:kern w:val="0"/>
      <w:szCs w:val="28"/>
      <w:lang w:val="zh-CN"/>
    </w:rPr>
  </w:style>
  <w:style w:type="paragraph" w:customStyle="1" w:styleId="220">
    <w:name w:val="Char Char Char Char1"/>
    <w:basedOn w:val="2"/>
    <w:next w:val="2"/>
    <w:uiPriority w:val="0"/>
    <w:pPr>
      <w:tabs>
        <w:tab w:val="left" w:pos="700"/>
      </w:tabs>
      <w:adjustRightInd w:val="0"/>
      <w:snapToGrid w:val="0"/>
      <w:spacing w:line="360" w:lineRule="exact"/>
      <w:jc w:val="center"/>
      <w:outlineLvl w:val="9"/>
    </w:pPr>
    <w:rPr>
      <w:rFonts w:eastAsia="仿宋_GB2312"/>
      <w:b w:val="0"/>
      <w:snapToGrid w:val="0"/>
      <w:kern w:val="0"/>
      <w:sz w:val="21"/>
      <w:szCs w:val="21"/>
      <w:lang w:eastAsia="en-US"/>
    </w:rPr>
  </w:style>
  <w:style w:type="paragraph" w:customStyle="1" w:styleId="221">
    <w:name w:val="Char2 Char Char Char"/>
    <w:basedOn w:val="2"/>
    <w:next w:val="2"/>
    <w:uiPriority w:val="0"/>
    <w:pPr>
      <w:tabs>
        <w:tab w:val="left" w:pos="700"/>
      </w:tabs>
      <w:adjustRightInd w:val="0"/>
      <w:snapToGrid w:val="0"/>
      <w:spacing w:line="360" w:lineRule="exact"/>
      <w:jc w:val="center"/>
      <w:outlineLvl w:val="9"/>
    </w:pPr>
    <w:rPr>
      <w:rFonts w:ascii="仿宋_GB2312" w:hAnsi="Verdana" w:eastAsia="仿宋_GB2312"/>
      <w:snapToGrid w:val="0"/>
      <w:kern w:val="0"/>
      <w:szCs w:val="28"/>
      <w:lang w:eastAsia="en-US"/>
    </w:rPr>
  </w:style>
  <w:style w:type="character" w:customStyle="1" w:styleId="222">
    <w:name w:val="题注 Char"/>
    <w:link w:val="14"/>
    <w:uiPriority w:val="0"/>
    <w:rPr>
      <w:rFonts w:ascii="黑体" w:hAnsi="宋体" w:eastAsia="黑体" w:cs="宋体"/>
      <w:snapToGrid w:val="0"/>
      <w:sz w:val="24"/>
      <w:szCs w:val="24"/>
      <w:lang w:val="en-US" w:eastAsia="zh-CN" w:bidi="ar-SA"/>
    </w:rPr>
  </w:style>
  <w:style w:type="paragraph" w:customStyle="1" w:styleId="223">
    <w:name w:val="样式 标题 3标题03 + 段前: 自动"/>
    <w:basedOn w:val="5"/>
    <w:uiPriority w:val="0"/>
    <w:pPr>
      <w:spacing w:before="120" w:beforeAutospacing="1" w:after="100" w:afterAutospacing="1" w:line="360" w:lineRule="auto"/>
      <w:jc w:val="left"/>
    </w:pPr>
    <w:rPr>
      <w:rFonts w:cs="宋体"/>
      <w:szCs w:val="20"/>
    </w:rPr>
  </w:style>
  <w:style w:type="paragraph" w:customStyle="1" w:styleId="224">
    <w:name w:val="Char3"/>
    <w:basedOn w:val="2"/>
    <w:next w:val="2"/>
    <w:uiPriority w:val="0"/>
    <w:pPr>
      <w:tabs>
        <w:tab w:val="left" w:pos="700"/>
      </w:tabs>
      <w:snapToGrid w:val="0"/>
      <w:spacing w:line="300" w:lineRule="auto"/>
    </w:pPr>
    <w:rPr>
      <w:rFonts w:ascii="仿宋_GB2312" w:hAnsi="Verdana" w:eastAsia="仿宋_GB2312"/>
      <w:snapToGrid w:val="0"/>
      <w:kern w:val="0"/>
      <w:szCs w:val="28"/>
      <w:lang w:eastAsia="en-US"/>
    </w:rPr>
  </w:style>
  <w:style w:type="paragraph" w:customStyle="1" w:styleId="225">
    <w:name w:val="表内容xxq"/>
    <w:basedOn w:val="1"/>
    <w:uiPriority w:val="0"/>
    <w:pPr>
      <w:adjustRightInd w:val="0"/>
      <w:snapToGrid w:val="0"/>
      <w:jc w:val="center"/>
    </w:pPr>
    <w:rPr>
      <w:snapToGrid w:val="0"/>
      <w:color w:val="000000"/>
      <w:kern w:val="0"/>
      <w:sz w:val="21"/>
      <w:szCs w:val="21"/>
    </w:rPr>
  </w:style>
  <w:style w:type="paragraph" w:customStyle="1" w:styleId="226">
    <w:name w:val="Char4"/>
    <w:basedOn w:val="2"/>
    <w:next w:val="2"/>
    <w:uiPriority w:val="0"/>
    <w:pPr>
      <w:tabs>
        <w:tab w:val="left" w:pos="700"/>
      </w:tabs>
      <w:snapToGrid w:val="0"/>
      <w:spacing w:line="300" w:lineRule="auto"/>
    </w:pPr>
    <w:rPr>
      <w:rFonts w:ascii="仿宋_GB2312" w:hAnsi="Verdana" w:eastAsia="仿宋_GB2312"/>
      <w:snapToGrid w:val="0"/>
      <w:kern w:val="0"/>
      <w:szCs w:val="28"/>
      <w:lang w:eastAsia="en-US"/>
    </w:rPr>
  </w:style>
  <w:style w:type="paragraph" w:customStyle="1" w:styleId="227">
    <w:name w:val="样式 表内容 + 蓝色"/>
    <w:basedOn w:val="191"/>
    <w:link w:val="228"/>
    <w:uiPriority w:val="0"/>
    <w:pPr>
      <w:spacing w:line="360" w:lineRule="exact"/>
      <w:jc w:val="center"/>
    </w:pPr>
    <w:rPr>
      <w:rFonts w:eastAsia="宋体"/>
      <w:snapToGrid w:val="0"/>
      <w:color w:val="0000FF"/>
      <w:sz w:val="21"/>
      <w:szCs w:val="21"/>
    </w:rPr>
  </w:style>
  <w:style w:type="character" w:customStyle="1" w:styleId="228">
    <w:name w:val="样式 表内容 + 蓝色 Char"/>
    <w:link w:val="227"/>
    <w:uiPriority w:val="0"/>
    <w:rPr>
      <w:rFonts w:eastAsia="宋体"/>
      <w:snapToGrid w:val="0"/>
      <w:color w:val="0000FF"/>
      <w:sz w:val="21"/>
      <w:szCs w:val="21"/>
      <w:lang w:val="en-US" w:eastAsia="zh-CN" w:bidi="ar-SA"/>
    </w:rPr>
  </w:style>
  <w:style w:type="paragraph" w:customStyle="1" w:styleId="229">
    <w:name w:val="Char11"/>
    <w:basedOn w:val="2"/>
    <w:next w:val="2"/>
    <w:uiPriority w:val="0"/>
    <w:pPr>
      <w:tabs>
        <w:tab w:val="left" w:pos="700"/>
      </w:tabs>
      <w:adjustRightInd w:val="0"/>
      <w:snapToGrid w:val="0"/>
      <w:spacing w:line="360" w:lineRule="exact"/>
      <w:jc w:val="center"/>
      <w:outlineLvl w:val="9"/>
    </w:pPr>
    <w:rPr>
      <w:rFonts w:ascii="仿宋_GB2312" w:hAnsi="Verdana" w:eastAsia="仿宋_GB2312"/>
      <w:kern w:val="0"/>
      <w:szCs w:val="28"/>
      <w:lang w:eastAsia="en-US"/>
    </w:rPr>
  </w:style>
  <w:style w:type="paragraph" w:customStyle="1" w:styleId="230">
    <w:name w:val="京唐秦正文2"/>
    <w:basedOn w:val="1"/>
    <w:next w:val="1"/>
    <w:uiPriority w:val="0"/>
    <w:pPr>
      <w:tabs>
        <w:tab w:val="left" w:pos="700"/>
      </w:tabs>
      <w:snapToGrid w:val="0"/>
      <w:spacing w:beforeLines="50" w:line="360" w:lineRule="auto"/>
      <w:ind w:firstLine="424"/>
      <w:jc w:val="left"/>
    </w:pPr>
    <w:rPr>
      <w:bCs/>
      <w:kern w:val="0"/>
      <w:lang w:eastAsia="en-US"/>
    </w:rPr>
  </w:style>
  <w:style w:type="paragraph" w:customStyle="1" w:styleId="231">
    <w:name w:val="表头1-1"/>
    <w:basedOn w:val="1"/>
    <w:link w:val="232"/>
    <w:uiPriority w:val="0"/>
    <w:pPr>
      <w:keepNext/>
      <w:widowControl/>
      <w:spacing w:beforeLines="50" w:line="300" w:lineRule="auto"/>
      <w:jc w:val="left"/>
    </w:pPr>
    <w:rPr>
      <w:rFonts w:eastAsia="黑体"/>
    </w:rPr>
  </w:style>
  <w:style w:type="character" w:customStyle="1" w:styleId="232">
    <w:name w:val="表头1-1 Char"/>
    <w:link w:val="231"/>
    <w:uiPriority w:val="0"/>
    <w:rPr>
      <w:rFonts w:eastAsia="黑体"/>
      <w:kern w:val="2"/>
      <w:sz w:val="24"/>
      <w:szCs w:val="24"/>
      <w:lang w:val="en-US" w:eastAsia="zh-CN" w:bidi="ar-SA"/>
    </w:rPr>
  </w:style>
  <w:style w:type="paragraph" w:customStyle="1" w:styleId="233">
    <w:name w:val="表内容1-1"/>
    <w:basedOn w:val="1"/>
    <w:uiPriority w:val="0"/>
    <w:pPr>
      <w:jc w:val="center"/>
      <w:textAlignment w:val="baseline"/>
    </w:pPr>
    <w:rPr>
      <w:kern w:val="0"/>
      <w:sz w:val="21"/>
      <w:szCs w:val="21"/>
    </w:rPr>
  </w:style>
  <w:style w:type="character" w:customStyle="1" w:styleId="234">
    <w:name w:val="标题 2 Char"/>
    <w:link w:val="3"/>
    <w:uiPriority w:val="0"/>
    <w:rPr>
      <w:rFonts w:eastAsia="黑体"/>
      <w:kern w:val="2"/>
      <w:position w:val="6"/>
      <w:sz w:val="24"/>
    </w:rPr>
  </w:style>
  <w:style w:type="paragraph" w:customStyle="1" w:styleId="235">
    <w:name w:val="表格内部"/>
    <w:basedOn w:val="1"/>
    <w:uiPriority w:val="0"/>
    <w:pPr>
      <w:adjustRightInd w:val="0"/>
      <w:snapToGrid w:val="0"/>
      <w:spacing w:line="240" w:lineRule="atLeast"/>
      <w:jc w:val="center"/>
      <w:textAlignment w:val="baseline"/>
    </w:pPr>
    <w:rPr>
      <w:rFonts w:ascii="Arial" w:hAnsi="Arial" w:cs="Arial"/>
      <w:kern w:val="0"/>
      <w:sz w:val="21"/>
      <w:szCs w:val="20"/>
    </w:rPr>
  </w:style>
  <w:style w:type="character" w:customStyle="1" w:styleId="236">
    <w:name w:val="报告正文 Char1"/>
    <w:link w:val="197"/>
    <w:uiPriority w:val="0"/>
    <w:rPr>
      <w:rFonts w:ascii="宋体" w:eastAsia="宋体"/>
      <w:kern w:val="2"/>
      <w:sz w:val="28"/>
      <w:lang w:val="en-US" w:eastAsia="zh-CN" w:bidi="ar-SA"/>
    </w:rPr>
  </w:style>
  <w:style w:type="paragraph" w:customStyle="1" w:styleId="237">
    <w:name w:val="正文A"/>
    <w:basedOn w:val="1"/>
    <w:link w:val="345"/>
    <w:uiPriority w:val="0"/>
    <w:pPr>
      <w:adjustRightInd w:val="0"/>
      <w:snapToGrid w:val="0"/>
      <w:spacing w:beforeLines="50" w:line="300" w:lineRule="auto"/>
      <w:ind w:left="126" w:leftChars="50" w:right="126" w:rightChars="50" w:firstLine="424"/>
    </w:pPr>
    <w:rPr>
      <w:snapToGrid w:val="0"/>
      <w:color w:val="000000"/>
      <w:kern w:val="0"/>
    </w:rPr>
  </w:style>
  <w:style w:type="character" w:customStyle="1" w:styleId="238">
    <w:name w:val="char"/>
    <w:basedOn w:val="55"/>
    <w:uiPriority w:val="0"/>
  </w:style>
  <w:style w:type="paragraph" w:customStyle="1" w:styleId="239">
    <w:name w:val="小表中"/>
    <w:basedOn w:val="1"/>
    <w:uiPriority w:val="0"/>
    <w:pPr>
      <w:adjustRightInd w:val="0"/>
      <w:snapToGrid w:val="0"/>
      <w:spacing w:line="360" w:lineRule="atLeast"/>
    </w:pPr>
    <w:rPr>
      <w:sz w:val="21"/>
    </w:rPr>
  </w:style>
  <w:style w:type="character" w:customStyle="1" w:styleId="240">
    <w:name w:val="zhenwen141"/>
    <w:uiPriority w:val="0"/>
    <w:rPr>
      <w:rFonts w:hint="default" w:ascii="ˎ̥" w:hAnsi="ˎ̥"/>
      <w:sz w:val="21"/>
      <w:szCs w:val="21"/>
    </w:rPr>
  </w:style>
  <w:style w:type="paragraph" w:customStyle="1" w:styleId="241">
    <w:name w:val="样式 表头 + 段前: 6 磅"/>
    <w:basedOn w:val="190"/>
    <w:uiPriority w:val="0"/>
    <w:pPr>
      <w:spacing w:before="120" w:line="360" w:lineRule="auto"/>
      <w:ind w:firstLine="425"/>
      <w:jc w:val="left"/>
    </w:pPr>
    <w:rPr>
      <w:rFonts w:cs="宋体"/>
      <w:snapToGrid w:val="0"/>
      <w:szCs w:val="24"/>
    </w:rPr>
  </w:style>
  <w:style w:type="paragraph" w:customStyle="1" w:styleId="242">
    <w:name w:val="表格文字居中"/>
    <w:basedOn w:val="1"/>
    <w:uiPriority w:val="0"/>
    <w:pPr>
      <w:adjustRightInd w:val="0"/>
      <w:snapToGrid w:val="0"/>
      <w:spacing w:beforeLines="20"/>
      <w:jc w:val="center"/>
    </w:pPr>
    <w:rPr>
      <w:snapToGrid w:val="0"/>
      <w:color w:val="000000"/>
      <w:kern w:val="0"/>
      <w:sz w:val="21"/>
      <w:szCs w:val="21"/>
    </w:rPr>
  </w:style>
  <w:style w:type="character" w:customStyle="1" w:styleId="243">
    <w:name w:val="纯文本 Char2"/>
    <w:link w:val="25"/>
    <w:uiPriority w:val="0"/>
    <w:rPr>
      <w:rFonts w:ascii="宋体" w:hAnsi="Courier New" w:eastAsia="宋体"/>
      <w:kern w:val="2"/>
      <w:sz w:val="21"/>
      <w:lang w:val="en-US" w:eastAsia="zh-CN" w:bidi="ar-SA"/>
    </w:rPr>
  </w:style>
  <w:style w:type="character" w:customStyle="1" w:styleId="244">
    <w:name w:val="样式 小四"/>
    <w:uiPriority w:val="0"/>
    <w:rPr>
      <w:sz w:val="21"/>
    </w:rPr>
  </w:style>
  <w:style w:type="paragraph" w:customStyle="1" w:styleId="245">
    <w:name w:val="Char2 Char Char Char Char Char Char Char Char Char Char Char Char Char Char Char Char Char Char"/>
    <w:basedOn w:val="1"/>
    <w:uiPriority w:val="0"/>
    <w:pPr>
      <w:ind w:left="-48"/>
    </w:pPr>
    <w:rPr>
      <w:sz w:val="21"/>
    </w:rPr>
  </w:style>
  <w:style w:type="paragraph" w:customStyle="1" w:styleId="246">
    <w:name w:val="xl73"/>
    <w:basedOn w:val="1"/>
    <w:uiPriority w:val="0"/>
    <w:pPr>
      <w:widowControl/>
      <w:pBdr>
        <w:right w:val="single" w:color="auto" w:sz="4" w:space="0"/>
      </w:pBdr>
      <w:spacing w:before="100" w:beforeAutospacing="1" w:after="100" w:afterAutospacing="1"/>
      <w:jc w:val="center"/>
      <w:textAlignment w:val="center"/>
    </w:pPr>
    <w:rPr>
      <w:kern w:val="0"/>
      <w:sz w:val="20"/>
      <w:szCs w:val="20"/>
    </w:rPr>
  </w:style>
  <w:style w:type="paragraph" w:customStyle="1" w:styleId="247">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248">
    <w:name w:val="xl6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9">
    <w:name w:val="xl70"/>
    <w:basedOn w:val="1"/>
    <w:uiPriority w:val="0"/>
    <w:pPr>
      <w:widowControl/>
      <w:pBdr>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0">
    <w:name w:val="xl7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1">
    <w:name w:val="xl72"/>
    <w:basedOn w:val="1"/>
    <w:uiPriority w:val="0"/>
    <w:pPr>
      <w:widowControl/>
      <w:pBdr>
        <w:top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2">
    <w:name w:val="xl22"/>
    <w:basedOn w:val="1"/>
    <w:uiPriority w:val="0"/>
    <w:pPr>
      <w:widowControl/>
      <w:spacing w:before="100" w:beforeAutospacing="1" w:after="100" w:afterAutospacing="1"/>
      <w:jc w:val="center"/>
    </w:pPr>
    <w:rPr>
      <w:kern w:val="0"/>
    </w:rPr>
  </w:style>
  <w:style w:type="paragraph" w:customStyle="1" w:styleId="253">
    <w:name w:val="样式11"/>
    <w:basedOn w:val="3"/>
    <w:qFormat/>
    <w:uiPriority w:val="0"/>
    <w:pPr>
      <w:keepNext w:val="0"/>
      <w:keepLines w:val="0"/>
      <w:tabs>
        <w:tab w:val="clear" w:pos="900"/>
      </w:tabs>
      <w:spacing w:beforeLines="100" w:afterLines="100" w:line="240" w:lineRule="atLeast"/>
      <w:ind w:left="284"/>
    </w:pPr>
    <w:rPr>
      <w:rFonts w:eastAsia="宋体"/>
      <w:bCs/>
      <w:snapToGrid w:val="0"/>
      <w:sz w:val="28"/>
      <w:szCs w:val="28"/>
    </w:rPr>
  </w:style>
  <w:style w:type="paragraph" w:customStyle="1" w:styleId="254">
    <w:name w:val="样式12"/>
    <w:basedOn w:val="2"/>
    <w:uiPriority w:val="0"/>
    <w:pPr>
      <w:tabs>
        <w:tab w:val="left" w:pos="360"/>
      </w:tabs>
      <w:spacing w:line="240" w:lineRule="auto"/>
      <w:ind w:left="360" w:leftChars="100" w:right="280" w:rightChars="100" w:hanging="360"/>
    </w:pPr>
    <w:rPr>
      <w:rFonts w:ascii="黑体" w:eastAsia="黑体" w:cs="Arial"/>
      <w:bCs w:val="0"/>
      <w:color w:val="FF0000"/>
      <w:kern w:val="2"/>
      <w:szCs w:val="28"/>
    </w:rPr>
  </w:style>
  <w:style w:type="paragraph" w:customStyle="1" w:styleId="255">
    <w:name w:val="样式 样式 样式12 + 行距: 多倍行距 1.25 字行 + 行距: 1.5 倍行距"/>
    <w:basedOn w:val="1"/>
    <w:qFormat/>
    <w:uiPriority w:val="0"/>
    <w:pPr>
      <w:widowControl/>
      <w:tabs>
        <w:tab w:val="left" w:pos="1551"/>
      </w:tabs>
      <w:snapToGrid w:val="0"/>
      <w:spacing w:line="480" w:lineRule="auto"/>
      <w:ind w:left="1551" w:hanging="720"/>
      <w:outlineLvl w:val="0"/>
    </w:pPr>
    <w:rPr>
      <w:rFonts w:ascii="黑体" w:eastAsia="黑体"/>
      <w:b/>
      <w:bCs/>
      <w:szCs w:val="28"/>
    </w:rPr>
  </w:style>
  <w:style w:type="character" w:customStyle="1" w:styleId="256">
    <w:name w:val="样式 正文文字缩进 2 + 四号 Char"/>
    <w:qFormat/>
    <w:uiPriority w:val="0"/>
    <w:rPr>
      <w:rFonts w:eastAsia="宋体"/>
      <w:kern w:val="2"/>
      <w:sz w:val="28"/>
      <w:lang w:val="en-US" w:eastAsia="zh-CN" w:bidi="ar-SA"/>
    </w:rPr>
  </w:style>
  <w:style w:type="paragraph" w:customStyle="1" w:styleId="257">
    <w:name w:val="样式6"/>
    <w:basedOn w:val="7"/>
    <w:uiPriority w:val="0"/>
    <w:pPr>
      <w:widowControl w:val="0"/>
      <w:spacing w:line="300" w:lineRule="auto"/>
    </w:pPr>
    <w:rPr>
      <w:color w:val="auto"/>
    </w:rPr>
  </w:style>
  <w:style w:type="paragraph" w:customStyle="1" w:styleId="258">
    <w:name w:val="样式7"/>
    <w:basedOn w:val="7"/>
    <w:qFormat/>
    <w:uiPriority w:val="0"/>
    <w:pPr>
      <w:widowControl w:val="0"/>
      <w:spacing w:line="300" w:lineRule="auto"/>
    </w:pPr>
    <w:rPr>
      <w:color w:val="auto"/>
    </w:rPr>
  </w:style>
  <w:style w:type="paragraph" w:customStyle="1" w:styleId="259">
    <w:name w:val="样式8"/>
    <w:basedOn w:val="7"/>
    <w:qFormat/>
    <w:uiPriority w:val="0"/>
    <w:pPr>
      <w:widowControl w:val="0"/>
      <w:spacing w:line="300" w:lineRule="auto"/>
    </w:pPr>
    <w:rPr>
      <w:color w:val="auto"/>
    </w:rPr>
  </w:style>
  <w:style w:type="paragraph" w:customStyle="1" w:styleId="260">
    <w:name w:val="样式9"/>
    <w:basedOn w:val="7"/>
    <w:uiPriority w:val="0"/>
    <w:pPr>
      <w:keepNext w:val="0"/>
      <w:keepLines w:val="0"/>
      <w:pageBreakBefore/>
      <w:widowControl w:val="0"/>
    </w:pPr>
    <w:rPr>
      <w:color w:val="auto"/>
    </w:rPr>
  </w:style>
  <w:style w:type="paragraph" w:customStyle="1" w:styleId="261">
    <w:name w:val="样式10"/>
    <w:basedOn w:val="3"/>
    <w:qFormat/>
    <w:uiPriority w:val="0"/>
    <w:pPr>
      <w:keepNext w:val="0"/>
      <w:keepLines w:val="0"/>
      <w:tabs>
        <w:tab w:val="clear" w:pos="900"/>
      </w:tabs>
      <w:spacing w:beforeLines="50" w:line="415" w:lineRule="auto"/>
      <w:ind w:left="284"/>
    </w:pPr>
    <w:rPr>
      <w:rFonts w:ascii="宋体" w:hAnsi="宋体" w:eastAsia="宋体"/>
      <w:bCs/>
      <w:snapToGrid w:val="0"/>
      <w:sz w:val="28"/>
      <w:szCs w:val="32"/>
    </w:rPr>
  </w:style>
  <w:style w:type="paragraph" w:customStyle="1" w:styleId="262">
    <w:name w:val="样式 样式12 + 行距: 多倍行距 1.25 字行"/>
    <w:basedOn w:val="254"/>
    <w:qFormat/>
    <w:uiPriority w:val="0"/>
    <w:pPr>
      <w:tabs>
        <w:tab w:val="left" w:pos="780"/>
        <w:tab w:val="clear" w:pos="360"/>
      </w:tabs>
      <w:snapToGrid w:val="0"/>
      <w:spacing w:line="336" w:lineRule="auto"/>
      <w:ind w:left="780" w:leftChars="200" w:hanging="200" w:hangingChars="200"/>
    </w:pPr>
    <w:rPr>
      <w:rFonts w:hint="eastAsia"/>
      <w:bCs/>
      <w:szCs w:val="20"/>
    </w:rPr>
  </w:style>
  <w:style w:type="paragraph" w:customStyle="1" w:styleId="263">
    <w:name w:val="样式 正文文字缩进 2 + 四号"/>
    <w:basedOn w:val="28"/>
    <w:uiPriority w:val="0"/>
    <w:pPr>
      <w:spacing w:line="300" w:lineRule="auto"/>
      <w:ind w:firstLine="539"/>
      <w:jc w:val="both"/>
    </w:pPr>
    <w:rPr>
      <w:sz w:val="28"/>
      <w:szCs w:val="20"/>
    </w:rPr>
  </w:style>
  <w:style w:type="paragraph" w:customStyle="1" w:styleId="264">
    <w:name w:val="样式 样式 样式 样式12 + 行距: 多倍行距 1.25 字行 + 行距: 1.5 倍行距 + Times New Roman"/>
    <w:basedOn w:val="255"/>
    <w:qFormat/>
    <w:uiPriority w:val="0"/>
    <w:pPr>
      <w:tabs>
        <w:tab w:val="left" w:pos="780"/>
        <w:tab w:val="clear" w:pos="1551"/>
      </w:tabs>
      <w:ind w:left="780" w:leftChars="200" w:hanging="360" w:hangingChars="200"/>
    </w:pPr>
    <w:rPr>
      <w:rFonts w:ascii="Times New Roman"/>
    </w:rPr>
  </w:style>
  <w:style w:type="paragraph" w:customStyle="1" w:styleId="265">
    <w:name w:val="样式 样式 样式 样式12 + 行距: 多倍行距 1.25 字行 + 行距: 1.5 倍行距 + 左侧:  0 厘米 首行缩进..."/>
    <w:basedOn w:val="255"/>
    <w:qFormat/>
    <w:uiPriority w:val="0"/>
    <w:pPr>
      <w:tabs>
        <w:tab w:val="left" w:pos="780"/>
        <w:tab w:val="clear" w:pos="1551"/>
      </w:tabs>
      <w:spacing w:line="360" w:lineRule="auto"/>
      <w:ind w:left="0" w:leftChars="200" w:hanging="200" w:hangingChars="200"/>
    </w:pPr>
    <w:rPr>
      <w:rFonts w:hint="eastAsia"/>
      <w:szCs w:val="20"/>
    </w:rPr>
  </w:style>
  <w:style w:type="character" w:customStyle="1" w:styleId="266">
    <w:name w:val="样式 三号 加粗"/>
    <w:uiPriority w:val="0"/>
    <w:rPr>
      <w:b/>
      <w:bCs/>
      <w:sz w:val="32"/>
    </w:rPr>
  </w:style>
  <w:style w:type="character" w:customStyle="1" w:styleId="267">
    <w:name w:val="样式5"/>
    <w:basedOn w:val="266"/>
    <w:qFormat/>
    <w:uiPriority w:val="0"/>
    <w:rPr>
      <w:sz w:val="32"/>
    </w:rPr>
  </w:style>
  <w:style w:type="character" w:customStyle="1" w:styleId="268">
    <w:name w:val="正文文字缩进 2 Char"/>
    <w:qFormat/>
    <w:uiPriority w:val="0"/>
    <w:rPr>
      <w:rFonts w:eastAsia="宋体"/>
      <w:kern w:val="2"/>
      <w:sz w:val="21"/>
      <w:lang w:val="en-US" w:eastAsia="zh-CN" w:bidi="ar-SA"/>
    </w:rPr>
  </w:style>
  <w:style w:type="character" w:customStyle="1" w:styleId="269">
    <w:name w:val="样式12 Char"/>
    <w:uiPriority w:val="0"/>
    <w:rPr>
      <w:rFonts w:ascii="黑体" w:eastAsia="黑体"/>
      <w:b/>
      <w:bCs/>
    </w:rPr>
  </w:style>
  <w:style w:type="character" w:customStyle="1" w:styleId="270">
    <w:name w:val="样式 样式12 + 行距: 多倍行距 1.25 字行 Char"/>
    <w:qFormat/>
    <w:uiPriority w:val="0"/>
    <w:rPr>
      <w:rFonts w:ascii="黑体" w:eastAsia="黑体" w:cs="宋体"/>
      <w:b/>
      <w:bCs/>
    </w:rPr>
  </w:style>
  <w:style w:type="character" w:customStyle="1" w:styleId="271">
    <w:name w:val="样式 样式 样式12 + 行距: 多倍行距 1.25 字行 + 行距: 1.5 倍行距 Char"/>
    <w:basedOn w:val="270"/>
    <w:uiPriority w:val="0"/>
    <w:rPr>
      <w:rFonts w:ascii="黑体" w:eastAsia="黑体" w:cs="宋体"/>
    </w:rPr>
  </w:style>
  <w:style w:type="character" w:customStyle="1" w:styleId="272">
    <w:name w:val="样式 样式 样式 样式12 + 行距: 多倍行距 1.25 字行 + 行距: 1.5 倍行距 + Times New Roman Char"/>
    <w:basedOn w:val="271"/>
    <w:qFormat/>
    <w:uiPriority w:val="0"/>
    <w:rPr>
      <w:rFonts w:ascii="黑体" w:eastAsia="黑体" w:cs="宋体"/>
    </w:rPr>
  </w:style>
  <w:style w:type="character" w:customStyle="1" w:styleId="273">
    <w:name w:val="表格文字 Char"/>
    <w:link w:val="81"/>
    <w:qFormat/>
    <w:uiPriority w:val="0"/>
    <w:rPr>
      <w:rFonts w:ascii="宋体" w:hAnsi="宋体" w:eastAsia="宋体"/>
      <w:kern w:val="2"/>
      <w:sz w:val="21"/>
      <w:szCs w:val="24"/>
      <w:lang w:val="en-US" w:eastAsia="zh-CN" w:bidi="ar-SA"/>
    </w:rPr>
  </w:style>
  <w:style w:type="paragraph" w:customStyle="1" w:styleId="274">
    <w:name w:val="font12"/>
    <w:basedOn w:val="1"/>
    <w:uiPriority w:val="0"/>
    <w:pPr>
      <w:widowControl/>
      <w:spacing w:before="100" w:beforeAutospacing="1" w:after="100" w:afterAutospacing="1"/>
      <w:jc w:val="left"/>
    </w:pPr>
    <w:rPr>
      <w:rFonts w:hint="eastAsia" w:ascii="黑体" w:eastAsia="黑体"/>
      <w:b/>
      <w:bCs/>
      <w:kern w:val="0"/>
    </w:rPr>
  </w:style>
  <w:style w:type="paragraph" w:customStyle="1" w:styleId="275">
    <w:name w:val="font13"/>
    <w:basedOn w:val="1"/>
    <w:qFormat/>
    <w:uiPriority w:val="0"/>
    <w:pPr>
      <w:widowControl/>
      <w:spacing w:before="100" w:beforeAutospacing="1" w:after="100" w:afterAutospacing="1"/>
      <w:jc w:val="left"/>
    </w:pPr>
    <w:rPr>
      <w:rFonts w:hint="eastAsia" w:ascii="黑体" w:eastAsia="黑体"/>
      <w:kern w:val="0"/>
      <w:sz w:val="20"/>
      <w:szCs w:val="20"/>
    </w:rPr>
  </w:style>
  <w:style w:type="paragraph" w:customStyle="1" w:styleId="276">
    <w:name w:val="font14"/>
    <w:basedOn w:val="1"/>
    <w:qFormat/>
    <w:uiPriority w:val="0"/>
    <w:pPr>
      <w:widowControl/>
      <w:spacing w:before="100" w:beforeAutospacing="1" w:after="100" w:afterAutospacing="1"/>
      <w:jc w:val="left"/>
    </w:pPr>
    <w:rPr>
      <w:kern w:val="0"/>
      <w:sz w:val="20"/>
      <w:szCs w:val="20"/>
    </w:rPr>
  </w:style>
  <w:style w:type="paragraph" w:customStyle="1" w:styleId="277">
    <w:name w:val="font15"/>
    <w:basedOn w:val="1"/>
    <w:uiPriority w:val="0"/>
    <w:pPr>
      <w:widowControl/>
      <w:spacing w:before="100" w:beforeAutospacing="1" w:after="100" w:afterAutospacing="1"/>
      <w:jc w:val="left"/>
    </w:pPr>
    <w:rPr>
      <w:b/>
      <w:bCs/>
      <w:kern w:val="0"/>
      <w:szCs w:val="28"/>
    </w:rPr>
  </w:style>
  <w:style w:type="paragraph" w:customStyle="1" w:styleId="278">
    <w:name w:val="font16"/>
    <w:basedOn w:val="1"/>
    <w:qFormat/>
    <w:uiPriority w:val="0"/>
    <w:pPr>
      <w:widowControl/>
      <w:spacing w:before="100" w:beforeAutospacing="1" w:after="100" w:afterAutospacing="1"/>
      <w:jc w:val="left"/>
    </w:pPr>
    <w:rPr>
      <w:rFonts w:hint="eastAsia"/>
      <w:b/>
      <w:bCs/>
      <w:kern w:val="0"/>
      <w:szCs w:val="28"/>
    </w:rPr>
  </w:style>
  <w:style w:type="paragraph" w:customStyle="1" w:styleId="279">
    <w:name w:val="font17"/>
    <w:basedOn w:val="1"/>
    <w:qFormat/>
    <w:uiPriority w:val="0"/>
    <w:pPr>
      <w:widowControl/>
      <w:spacing w:before="100" w:beforeAutospacing="1" w:after="100" w:afterAutospacing="1"/>
      <w:jc w:val="left"/>
    </w:pPr>
    <w:rPr>
      <w:rFonts w:hint="eastAsia" w:ascii="黑体" w:eastAsia="黑体"/>
      <w:b/>
      <w:bCs/>
      <w:kern w:val="0"/>
      <w:sz w:val="22"/>
      <w:szCs w:val="22"/>
    </w:rPr>
  </w:style>
  <w:style w:type="paragraph" w:customStyle="1" w:styleId="280">
    <w:name w:val="font18"/>
    <w:basedOn w:val="1"/>
    <w:uiPriority w:val="0"/>
    <w:pPr>
      <w:widowControl/>
      <w:spacing w:before="100" w:beforeAutospacing="1" w:after="100" w:afterAutospacing="1"/>
      <w:jc w:val="left"/>
    </w:pPr>
    <w:rPr>
      <w:rFonts w:hint="eastAsia" w:ascii="黑体" w:eastAsia="黑体"/>
      <w:kern w:val="0"/>
      <w:sz w:val="16"/>
      <w:szCs w:val="16"/>
    </w:rPr>
  </w:style>
  <w:style w:type="paragraph" w:customStyle="1" w:styleId="281">
    <w:name w:val="font19"/>
    <w:basedOn w:val="1"/>
    <w:qFormat/>
    <w:uiPriority w:val="0"/>
    <w:pPr>
      <w:widowControl/>
      <w:spacing w:before="100" w:beforeAutospacing="1" w:after="100" w:afterAutospacing="1"/>
      <w:jc w:val="left"/>
    </w:pPr>
    <w:rPr>
      <w:rFonts w:hint="eastAsia" w:ascii="黑体" w:eastAsia="黑体"/>
      <w:kern w:val="0"/>
      <w:sz w:val="12"/>
      <w:szCs w:val="12"/>
    </w:rPr>
  </w:style>
  <w:style w:type="paragraph" w:customStyle="1" w:styleId="282">
    <w:name w:val="font20"/>
    <w:basedOn w:val="1"/>
    <w:qFormat/>
    <w:uiPriority w:val="0"/>
    <w:pPr>
      <w:widowControl/>
      <w:spacing w:before="100" w:beforeAutospacing="1" w:after="100" w:afterAutospacing="1"/>
      <w:jc w:val="left"/>
    </w:pPr>
    <w:rPr>
      <w:rFonts w:hint="eastAsia" w:ascii="黑体" w:eastAsia="黑体"/>
      <w:kern w:val="0"/>
      <w:sz w:val="18"/>
      <w:szCs w:val="18"/>
    </w:rPr>
  </w:style>
  <w:style w:type="paragraph" w:customStyle="1" w:styleId="283">
    <w:name w:val="font21"/>
    <w:basedOn w:val="1"/>
    <w:uiPriority w:val="0"/>
    <w:pPr>
      <w:widowControl/>
      <w:spacing w:before="100" w:beforeAutospacing="1" w:after="100" w:afterAutospacing="1"/>
      <w:jc w:val="left"/>
    </w:pPr>
    <w:rPr>
      <w:rFonts w:hint="eastAsia" w:ascii="楷体_GB2312" w:eastAsia="楷体_GB2312"/>
      <w:kern w:val="0"/>
      <w:sz w:val="12"/>
      <w:szCs w:val="12"/>
    </w:rPr>
  </w:style>
  <w:style w:type="paragraph" w:customStyle="1" w:styleId="284">
    <w:name w:val="xl74"/>
    <w:basedOn w:val="1"/>
    <w:qFormat/>
    <w:uiPriority w:val="0"/>
    <w:pPr>
      <w:widowControl/>
      <w:pBdr>
        <w:left w:val="single" w:color="auto" w:sz="8" w:space="0"/>
      </w:pBdr>
      <w:spacing w:before="100" w:beforeAutospacing="1" w:after="100" w:afterAutospacing="1"/>
      <w:jc w:val="center"/>
      <w:textAlignment w:val="center"/>
    </w:pPr>
    <w:rPr>
      <w:rFonts w:hint="eastAsia"/>
      <w:kern w:val="0"/>
    </w:rPr>
  </w:style>
  <w:style w:type="paragraph" w:customStyle="1" w:styleId="285">
    <w:name w:val="xl75"/>
    <w:basedOn w:val="1"/>
    <w:qFormat/>
    <w:uiPriority w:val="0"/>
    <w:pPr>
      <w:widowControl/>
      <w:spacing w:before="100" w:beforeAutospacing="1" w:after="100" w:afterAutospacing="1"/>
      <w:jc w:val="center"/>
      <w:textAlignment w:val="center"/>
    </w:pPr>
    <w:rPr>
      <w:rFonts w:hint="eastAsia"/>
      <w:kern w:val="0"/>
    </w:rPr>
  </w:style>
  <w:style w:type="paragraph" w:customStyle="1" w:styleId="286">
    <w:name w:val="xl76"/>
    <w:basedOn w:val="1"/>
    <w:uiPriority w:val="0"/>
    <w:pPr>
      <w:widowControl/>
      <w:pBdr>
        <w:right w:val="single" w:color="auto" w:sz="8" w:space="0"/>
      </w:pBdr>
      <w:spacing w:before="100" w:beforeAutospacing="1" w:after="100" w:afterAutospacing="1"/>
      <w:jc w:val="center"/>
      <w:textAlignment w:val="center"/>
    </w:pPr>
    <w:rPr>
      <w:rFonts w:hint="eastAsia"/>
      <w:kern w:val="0"/>
    </w:rPr>
  </w:style>
  <w:style w:type="paragraph" w:customStyle="1" w:styleId="287">
    <w:name w:val="xl77"/>
    <w:basedOn w:val="1"/>
    <w:qFormat/>
    <w:uiPriority w:val="0"/>
    <w:pPr>
      <w:widowControl/>
      <w:pBdr>
        <w:left w:val="single" w:color="auto" w:sz="8" w:space="0"/>
      </w:pBdr>
      <w:spacing w:before="100" w:beforeAutospacing="1" w:after="100" w:afterAutospacing="1"/>
      <w:jc w:val="center"/>
      <w:textAlignment w:val="center"/>
    </w:pPr>
    <w:rPr>
      <w:b/>
      <w:bCs/>
      <w:kern w:val="0"/>
      <w:szCs w:val="28"/>
    </w:rPr>
  </w:style>
  <w:style w:type="paragraph" w:customStyle="1" w:styleId="288">
    <w:name w:val="xl78"/>
    <w:basedOn w:val="1"/>
    <w:qFormat/>
    <w:uiPriority w:val="0"/>
    <w:pPr>
      <w:widowControl/>
      <w:spacing w:before="100" w:beforeAutospacing="1" w:after="100" w:afterAutospacing="1"/>
      <w:jc w:val="center"/>
      <w:textAlignment w:val="center"/>
    </w:pPr>
    <w:rPr>
      <w:b/>
      <w:bCs/>
      <w:kern w:val="0"/>
      <w:szCs w:val="28"/>
    </w:rPr>
  </w:style>
  <w:style w:type="paragraph" w:customStyle="1" w:styleId="289">
    <w:name w:val="xl79"/>
    <w:basedOn w:val="1"/>
    <w:uiPriority w:val="0"/>
    <w:pPr>
      <w:widowControl/>
      <w:pBdr>
        <w:right w:val="single" w:color="auto" w:sz="8" w:space="0"/>
      </w:pBdr>
      <w:spacing w:before="100" w:beforeAutospacing="1" w:after="100" w:afterAutospacing="1"/>
      <w:jc w:val="center"/>
      <w:textAlignment w:val="center"/>
    </w:pPr>
    <w:rPr>
      <w:b/>
      <w:bCs/>
      <w:kern w:val="0"/>
      <w:szCs w:val="28"/>
    </w:rPr>
  </w:style>
  <w:style w:type="paragraph" w:customStyle="1" w:styleId="290">
    <w:name w:val="xl80"/>
    <w:basedOn w:val="1"/>
    <w:qFormat/>
    <w:uiPriority w:val="0"/>
    <w:pPr>
      <w:widowControl/>
      <w:pBdr>
        <w:left w:val="single" w:color="auto" w:sz="8" w:space="0"/>
        <w:bottom w:val="single" w:color="auto" w:sz="8" w:space="0"/>
      </w:pBdr>
      <w:spacing w:before="100" w:beforeAutospacing="1" w:after="100" w:afterAutospacing="1"/>
      <w:jc w:val="center"/>
      <w:textAlignment w:val="center"/>
    </w:pPr>
    <w:rPr>
      <w:kern w:val="0"/>
    </w:rPr>
  </w:style>
  <w:style w:type="paragraph" w:customStyle="1" w:styleId="291">
    <w:name w:val="xl81"/>
    <w:basedOn w:val="1"/>
    <w:qFormat/>
    <w:uiPriority w:val="0"/>
    <w:pPr>
      <w:widowControl/>
      <w:pBdr>
        <w:bottom w:val="single" w:color="auto" w:sz="8" w:space="0"/>
      </w:pBdr>
      <w:spacing w:before="100" w:beforeAutospacing="1" w:after="100" w:afterAutospacing="1"/>
      <w:jc w:val="center"/>
      <w:textAlignment w:val="center"/>
    </w:pPr>
    <w:rPr>
      <w:kern w:val="0"/>
    </w:rPr>
  </w:style>
  <w:style w:type="paragraph" w:customStyle="1" w:styleId="292">
    <w:name w:val="xl82"/>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rPr>
  </w:style>
  <w:style w:type="paragraph" w:customStyle="1" w:styleId="293">
    <w:name w:val="xl8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4">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5">
    <w:name w:val="xl85"/>
    <w:basedOn w:val="1"/>
    <w:uiPriority w:val="0"/>
    <w:pPr>
      <w:widowControl/>
      <w:pBdr>
        <w:left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6">
    <w:name w:val="xl86"/>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hint="eastAsia"/>
      <w:kern w:val="0"/>
    </w:rPr>
  </w:style>
  <w:style w:type="paragraph" w:customStyle="1" w:styleId="297">
    <w:name w:val="pp"/>
    <w:basedOn w:val="1"/>
    <w:qFormat/>
    <w:uiPriority w:val="0"/>
    <w:pPr>
      <w:adjustRightInd w:val="0"/>
      <w:spacing w:line="360" w:lineRule="auto"/>
      <w:ind w:left="51" w:leftChars="51" w:right="142"/>
      <w:jc w:val="left"/>
      <w:textAlignment w:val="baseline"/>
    </w:pPr>
    <w:rPr>
      <w:kern w:val="0"/>
      <w:szCs w:val="20"/>
    </w:rPr>
  </w:style>
  <w:style w:type="paragraph" w:customStyle="1" w:styleId="298">
    <w:name w:val="样式13"/>
    <w:basedOn w:val="3"/>
    <w:uiPriority w:val="0"/>
    <w:pPr>
      <w:keepNext w:val="0"/>
      <w:keepLines w:val="0"/>
      <w:tabs>
        <w:tab w:val="clear" w:pos="900"/>
      </w:tabs>
      <w:spacing w:beforeLines="50" w:line="540" w:lineRule="exact"/>
      <w:ind w:left="280" w:leftChars="100" w:right="280" w:rightChars="100"/>
      <w:jc w:val="center"/>
      <w:textAlignment w:val="baseline"/>
    </w:pPr>
    <w:rPr>
      <w:rFonts w:eastAsia="宋体"/>
      <w:bCs/>
      <w:snapToGrid w:val="0"/>
      <w:kern w:val="0"/>
      <w:sz w:val="28"/>
      <w:szCs w:val="28"/>
    </w:rPr>
  </w:style>
  <w:style w:type="paragraph" w:customStyle="1" w:styleId="299">
    <w:name w:val="样式14"/>
    <w:basedOn w:val="1"/>
    <w:qFormat/>
    <w:uiPriority w:val="0"/>
    <w:pPr>
      <w:adjustRightInd w:val="0"/>
      <w:spacing w:line="360" w:lineRule="auto"/>
      <w:ind w:firstLine="285"/>
      <w:jc w:val="left"/>
      <w:textAlignment w:val="baseline"/>
    </w:pPr>
    <w:rPr>
      <w:kern w:val="0"/>
      <w:szCs w:val="20"/>
    </w:rPr>
  </w:style>
  <w:style w:type="paragraph" w:customStyle="1" w:styleId="300">
    <w:name w:val="样式15"/>
    <w:basedOn w:val="1"/>
    <w:next w:val="1"/>
    <w:qFormat/>
    <w:uiPriority w:val="0"/>
    <w:pPr>
      <w:adjustRightInd w:val="0"/>
      <w:spacing w:line="360" w:lineRule="auto"/>
      <w:jc w:val="left"/>
      <w:textAlignment w:val="baseline"/>
    </w:pPr>
    <w:rPr>
      <w:kern w:val="0"/>
      <w:szCs w:val="20"/>
    </w:rPr>
  </w:style>
  <w:style w:type="paragraph" w:customStyle="1" w:styleId="301">
    <w:name w:val="样式16"/>
    <w:basedOn w:val="45"/>
    <w:uiPriority w:val="0"/>
    <w:pPr>
      <w:widowControl w:val="0"/>
      <w:snapToGrid/>
      <w:spacing w:beforeLines="0" w:line="360" w:lineRule="auto"/>
      <w:ind w:firstLine="0" w:firstLineChars="0"/>
      <w:textAlignment w:val="baseline"/>
    </w:pPr>
    <w:rPr>
      <w:bCs/>
    </w:rPr>
  </w:style>
  <w:style w:type="paragraph" w:customStyle="1" w:styleId="302">
    <w:name w:val="表格标题"/>
    <w:basedOn w:val="1"/>
    <w:qFormat/>
    <w:uiPriority w:val="0"/>
    <w:pPr>
      <w:ind w:firstLine="511" w:firstLineChars="212"/>
    </w:pPr>
    <w:rPr>
      <w:b/>
      <w:kern w:val="0"/>
      <w:szCs w:val="32"/>
    </w:rPr>
  </w:style>
  <w:style w:type="paragraph" w:customStyle="1" w:styleId="303">
    <w:name w:val="007"/>
    <w:basedOn w:val="1"/>
    <w:qFormat/>
    <w:uiPriority w:val="0"/>
    <w:rPr>
      <w:sz w:val="21"/>
    </w:rPr>
  </w:style>
  <w:style w:type="paragraph" w:customStyle="1" w:styleId="304">
    <w:name w:val="样式17"/>
    <w:basedOn w:val="2"/>
    <w:uiPriority w:val="0"/>
    <w:pPr>
      <w:spacing w:line="540" w:lineRule="exact"/>
      <w:ind w:right="210"/>
    </w:pPr>
    <w:rPr>
      <w:rFonts w:ascii="黑体" w:eastAsia="黑体" w:cs="Arial"/>
      <w:b w:val="0"/>
      <w:color w:val="000000"/>
      <w:szCs w:val="24"/>
    </w:rPr>
  </w:style>
  <w:style w:type="paragraph" w:customStyle="1" w:styleId="305">
    <w:name w:val="密级"/>
    <w:basedOn w:val="1"/>
    <w:qFormat/>
    <w:uiPriority w:val="0"/>
    <w:pPr>
      <w:keepNext/>
      <w:snapToGrid w:val="0"/>
      <w:spacing w:line="300" w:lineRule="auto"/>
      <w:jc w:val="left"/>
    </w:pPr>
    <w:rPr>
      <w:szCs w:val="20"/>
    </w:rPr>
  </w:style>
  <w:style w:type="paragraph" w:customStyle="1" w:styleId="306">
    <w:name w:val="样式 表字 + 居中"/>
    <w:basedOn w:val="1"/>
    <w:qFormat/>
    <w:uiPriority w:val="0"/>
    <w:pPr>
      <w:keepNext/>
      <w:widowControl/>
      <w:spacing w:line="360" w:lineRule="exact"/>
      <w:jc w:val="center"/>
    </w:pPr>
    <w:rPr>
      <w:sz w:val="21"/>
      <w:szCs w:val="20"/>
    </w:rPr>
  </w:style>
  <w:style w:type="paragraph" w:customStyle="1" w:styleId="307">
    <w:name w:val="正文文本缩进1"/>
    <w:basedOn w:val="1"/>
    <w:uiPriority w:val="0"/>
    <w:pPr>
      <w:adjustRightInd w:val="0"/>
      <w:spacing w:line="360" w:lineRule="atLeast"/>
      <w:ind w:left="280" w:firstLine="560"/>
      <w:jc w:val="left"/>
      <w:textAlignment w:val="baseline"/>
    </w:pPr>
    <w:rPr>
      <w:kern w:val="0"/>
    </w:rPr>
  </w:style>
  <w:style w:type="paragraph" w:customStyle="1" w:styleId="308">
    <w:name w:val="宽5中"/>
    <w:basedOn w:val="1"/>
    <w:next w:val="1"/>
    <w:qFormat/>
    <w:uiPriority w:val="0"/>
    <w:pPr>
      <w:adjustRightInd w:val="0"/>
      <w:snapToGrid w:val="0"/>
      <w:jc w:val="center"/>
    </w:pPr>
    <w:rPr>
      <w:sz w:val="21"/>
      <w:szCs w:val="28"/>
    </w:rPr>
  </w:style>
  <w:style w:type="paragraph" w:customStyle="1" w:styleId="309">
    <w:name w:val="备注"/>
    <w:basedOn w:val="1"/>
    <w:qFormat/>
    <w:uiPriority w:val="0"/>
    <w:pPr>
      <w:keepNext/>
      <w:adjustRightInd w:val="0"/>
      <w:snapToGrid w:val="0"/>
      <w:spacing w:line="320" w:lineRule="atLeast"/>
      <w:ind w:firstLine="420"/>
      <w:jc w:val="center"/>
    </w:pPr>
    <w:rPr>
      <w:color w:val="000000"/>
      <w:sz w:val="21"/>
    </w:rPr>
  </w:style>
  <w:style w:type="paragraph" w:customStyle="1" w:styleId="310">
    <w:name w:val="建设（委托）单位"/>
    <w:basedOn w:val="1"/>
    <w:uiPriority w:val="0"/>
    <w:pPr>
      <w:keepNext/>
      <w:snapToGrid w:val="0"/>
      <w:spacing w:line="300" w:lineRule="auto"/>
      <w:ind w:firstLine="1565" w:firstLineChars="489"/>
      <w:jc w:val="center"/>
    </w:pPr>
    <w:rPr>
      <w:sz w:val="32"/>
      <w:szCs w:val="20"/>
    </w:rPr>
  </w:style>
  <w:style w:type="paragraph" w:customStyle="1" w:styleId="311">
    <w:name w:val="点标题"/>
    <w:basedOn w:val="1"/>
    <w:qFormat/>
    <w:uiPriority w:val="0"/>
    <w:pPr>
      <w:adjustRightInd w:val="0"/>
      <w:spacing w:line="312" w:lineRule="atLeast"/>
      <w:textAlignment w:val="baseline"/>
    </w:pPr>
    <w:rPr>
      <w:kern w:val="0"/>
      <w:szCs w:val="20"/>
    </w:rPr>
  </w:style>
  <w:style w:type="paragraph" w:customStyle="1" w:styleId="312">
    <w:name w:val="head_3"/>
    <w:basedOn w:val="1"/>
    <w:qFormat/>
    <w:uiPriority w:val="0"/>
    <w:pPr>
      <w:keepNext/>
      <w:keepLines/>
      <w:tabs>
        <w:tab w:val="left" w:pos="114"/>
      </w:tabs>
      <w:adjustRightInd w:val="0"/>
      <w:spacing w:beforeLines="100" w:line="360" w:lineRule="auto"/>
      <w:ind w:left="20" w:leftChars="20" w:firstLine="57" w:firstLineChars="57"/>
      <w:jc w:val="left"/>
      <w:textAlignment w:val="baseline"/>
      <w:outlineLvl w:val="0"/>
    </w:pPr>
    <w:rPr>
      <w:b/>
      <w:kern w:val="44"/>
      <w:szCs w:val="28"/>
    </w:rPr>
  </w:style>
  <w:style w:type="paragraph" w:customStyle="1" w:styleId="313">
    <w:name w:val="head_4"/>
    <w:basedOn w:val="312"/>
    <w:uiPriority w:val="0"/>
    <w:pPr>
      <w:spacing w:before="312" w:afterLines="50" w:line="240" w:lineRule="auto"/>
      <w:ind w:left="42" w:firstLine="160"/>
    </w:pPr>
  </w:style>
  <w:style w:type="character" w:customStyle="1" w:styleId="314">
    <w:name w:val="m_r_summary"/>
    <w:basedOn w:val="55"/>
    <w:qFormat/>
    <w:uiPriority w:val="0"/>
  </w:style>
  <w:style w:type="paragraph" w:customStyle="1" w:styleId="315">
    <w:name w:val="样式 标题 11my标题1 +"/>
    <w:basedOn w:val="2"/>
    <w:qFormat/>
    <w:uiPriority w:val="0"/>
    <w:pPr>
      <w:widowControl/>
      <w:adjustRightInd w:val="0"/>
      <w:spacing w:line="540" w:lineRule="auto"/>
    </w:pPr>
    <w:rPr>
      <w:rFonts w:ascii="黑体" w:eastAsia="黑体"/>
      <w:b w:val="0"/>
      <w:bCs w:val="0"/>
      <w:kern w:val="2"/>
      <w:sz w:val="32"/>
      <w:szCs w:val="28"/>
    </w:rPr>
  </w:style>
  <w:style w:type="paragraph" w:customStyle="1" w:styleId="316">
    <w:name w:val="样式 标题 11my标题1 +1"/>
    <w:basedOn w:val="2"/>
    <w:uiPriority w:val="0"/>
    <w:pPr>
      <w:widowControl/>
      <w:adjustRightInd w:val="0"/>
      <w:spacing w:line="540" w:lineRule="auto"/>
    </w:pPr>
    <w:rPr>
      <w:rFonts w:ascii="黑体" w:eastAsia="黑体"/>
      <w:b w:val="0"/>
      <w:bCs w:val="0"/>
      <w:kern w:val="2"/>
      <w:sz w:val="32"/>
      <w:szCs w:val="28"/>
    </w:rPr>
  </w:style>
  <w:style w:type="paragraph" w:customStyle="1" w:styleId="317">
    <w:name w:val="px10-1"/>
    <w:basedOn w:val="1"/>
    <w:qFormat/>
    <w:uiPriority w:val="0"/>
    <w:pPr>
      <w:widowControl/>
      <w:spacing w:before="100" w:beforeAutospacing="1" w:after="100" w:afterAutospacing="1" w:line="300" w:lineRule="atLeast"/>
      <w:jc w:val="left"/>
    </w:pPr>
    <w:rPr>
      <w:color w:val="043F6F"/>
      <w:kern w:val="0"/>
      <w:sz w:val="18"/>
      <w:szCs w:val="18"/>
    </w:rPr>
  </w:style>
  <w:style w:type="character" w:customStyle="1" w:styleId="318">
    <w:name w:val="px10-1 style6"/>
    <w:basedOn w:val="55"/>
    <w:qFormat/>
    <w:uiPriority w:val="0"/>
  </w:style>
  <w:style w:type="character" w:customStyle="1" w:styleId="319">
    <w:name w:val="标题 1 Char Char Char"/>
    <w:uiPriority w:val="0"/>
    <w:rPr>
      <w:rFonts w:ascii="宋体" w:eastAsia="宋体"/>
      <w:b/>
      <w:color w:val="000000"/>
      <w:kern w:val="32"/>
      <w:sz w:val="32"/>
      <w:szCs w:val="32"/>
      <w:lang w:val="en-US" w:eastAsia="zh-CN" w:bidi="ar-SA"/>
    </w:rPr>
  </w:style>
  <w:style w:type="character" w:customStyle="1" w:styleId="320">
    <w:name w:val="my标题1 Char"/>
    <w:qFormat/>
    <w:uiPriority w:val="0"/>
    <w:rPr>
      <w:rFonts w:eastAsia="宋体"/>
      <w:b/>
      <w:bCs/>
      <w:kern w:val="44"/>
      <w:sz w:val="44"/>
      <w:szCs w:val="44"/>
      <w:lang w:val="en-US" w:eastAsia="zh-CN" w:bidi="ar-SA"/>
    </w:rPr>
  </w:style>
  <w:style w:type="paragraph" w:customStyle="1" w:styleId="321">
    <w:name w:val="样式 正文文本缩进 + 左侧:  2 字符"/>
    <w:basedOn w:val="1"/>
    <w:qFormat/>
    <w:uiPriority w:val="0"/>
    <w:pPr>
      <w:tabs>
        <w:tab w:val="left" w:pos="0"/>
      </w:tabs>
      <w:jc w:val="left"/>
    </w:pPr>
  </w:style>
  <w:style w:type="character" w:customStyle="1" w:styleId="322">
    <w:name w:val="p21"/>
    <w:uiPriority w:val="0"/>
    <w:rPr>
      <w:sz w:val="18"/>
      <w:szCs w:val="18"/>
    </w:rPr>
  </w:style>
  <w:style w:type="paragraph" w:customStyle="1" w:styleId="323">
    <w:name w:val="plaintext"/>
    <w:basedOn w:val="1"/>
    <w:qFormat/>
    <w:uiPriority w:val="0"/>
    <w:pPr>
      <w:widowControl/>
      <w:spacing w:before="100" w:beforeAutospacing="1" w:after="100" w:afterAutospacing="1"/>
      <w:jc w:val="left"/>
    </w:pPr>
    <w:rPr>
      <w:color w:val="000000"/>
      <w:kern w:val="0"/>
    </w:rPr>
  </w:style>
  <w:style w:type="paragraph" w:customStyle="1" w:styleId="324">
    <w:name w:val="2"/>
    <w:basedOn w:val="1"/>
    <w:next w:val="28"/>
    <w:qFormat/>
    <w:uiPriority w:val="0"/>
    <w:pPr>
      <w:ind w:firstLine="560"/>
    </w:pPr>
    <w:rPr>
      <w:rFonts w:ascii="仿宋_GB2312" w:eastAsia="仿宋_GB2312"/>
      <w:kern w:val="30"/>
      <w:szCs w:val="30"/>
    </w:rPr>
  </w:style>
  <w:style w:type="paragraph" w:customStyle="1" w:styleId="325">
    <w:name w:val="font1"/>
    <w:basedOn w:val="1"/>
    <w:uiPriority w:val="0"/>
    <w:pPr>
      <w:widowControl/>
      <w:spacing w:before="100" w:beforeAutospacing="1" w:after="100" w:afterAutospacing="1"/>
      <w:jc w:val="left"/>
    </w:pPr>
    <w:rPr>
      <w:rFonts w:hint="eastAsia"/>
      <w:b/>
      <w:bCs/>
      <w:kern w:val="0"/>
    </w:rPr>
  </w:style>
  <w:style w:type="character" w:customStyle="1" w:styleId="326">
    <w:name w:val="style17"/>
    <w:basedOn w:val="55"/>
    <w:qFormat/>
    <w:uiPriority w:val="0"/>
  </w:style>
  <w:style w:type="character" w:customStyle="1" w:styleId="327">
    <w:name w:val="newstitle1"/>
    <w:qFormat/>
    <w:uiPriority w:val="0"/>
    <w:rPr>
      <w:rFonts w:hint="eastAsia" w:ascii="楷体_GB2312" w:eastAsia="楷体_GB2312"/>
      <w:b/>
      <w:bCs/>
      <w:color w:val="072982"/>
      <w:sz w:val="40"/>
      <w:szCs w:val="40"/>
    </w:rPr>
  </w:style>
  <w:style w:type="character" w:customStyle="1" w:styleId="328">
    <w:name w:val="纯文本 Char Char Char"/>
    <w:uiPriority w:val="0"/>
    <w:rPr>
      <w:rFonts w:ascii="宋体" w:hAnsi="ISOCT" w:eastAsia="宋体"/>
      <w:kern w:val="2"/>
      <w:sz w:val="21"/>
      <w:szCs w:val="21"/>
      <w:lang w:val="en-US" w:eastAsia="zh-CN" w:bidi="ar-SA"/>
    </w:rPr>
  </w:style>
  <w:style w:type="paragraph" w:customStyle="1" w:styleId="329">
    <w:name w:val="缩进正文"/>
    <w:basedOn w:val="20"/>
    <w:qFormat/>
    <w:uiPriority w:val="0"/>
    <w:pPr>
      <w:adjustRightInd w:val="0"/>
      <w:snapToGrid w:val="0"/>
      <w:spacing w:line="300" w:lineRule="auto"/>
      <w:ind w:firstLine="200"/>
      <w:jc w:val="both"/>
    </w:pPr>
    <w:rPr>
      <w:sz w:val="28"/>
      <w:szCs w:val="20"/>
    </w:rPr>
  </w:style>
  <w:style w:type="paragraph" w:customStyle="1" w:styleId="330">
    <w:name w:val="样式 标题 3标题031.1.1条标题 3 Char Char标题 3 CharSectionPA Minor S..."/>
    <w:basedOn w:val="5"/>
    <w:qFormat/>
    <w:uiPriority w:val="0"/>
    <w:pPr>
      <w:snapToGrid w:val="0"/>
      <w:spacing w:beforeLines="50" w:line="360" w:lineRule="auto"/>
      <w:jc w:val="left"/>
      <w:textAlignment w:val="baseline"/>
    </w:pPr>
    <w:rPr>
      <w:rFonts w:cs="宋体"/>
      <w:b/>
      <w:bCs w:val="0"/>
      <w:snapToGrid w:val="0"/>
      <w:kern w:val="0"/>
      <w:szCs w:val="24"/>
    </w:rPr>
  </w:style>
  <w:style w:type="paragraph" w:customStyle="1" w:styleId="331">
    <w:name w:val="样式 首行缩进:  0.85 厘米"/>
    <w:basedOn w:val="1"/>
    <w:uiPriority w:val="0"/>
    <w:pPr>
      <w:adjustRightInd w:val="0"/>
      <w:snapToGrid w:val="0"/>
      <w:spacing w:before="120" w:line="360" w:lineRule="auto"/>
      <w:ind w:firstLine="424"/>
    </w:pPr>
    <w:rPr>
      <w:rFonts w:cs="宋体"/>
      <w:snapToGrid w:val="0"/>
      <w:kern w:val="0"/>
      <w:szCs w:val="20"/>
    </w:rPr>
  </w:style>
  <w:style w:type="paragraph" w:customStyle="1" w:styleId="332">
    <w:name w:val="样式 样式 标题 11my标题1h11st levelSection Headl1Chapter HeadingHea...3 ..."/>
    <w:basedOn w:val="1"/>
    <w:qFormat/>
    <w:uiPriority w:val="0"/>
    <w:pPr>
      <w:keepNext/>
      <w:keepLines/>
      <w:pageBreakBefore/>
      <w:adjustRightInd w:val="0"/>
      <w:snapToGrid w:val="0"/>
      <w:spacing w:before="120" w:after="120" w:line="360" w:lineRule="auto"/>
      <w:textAlignment w:val="baseline"/>
      <w:outlineLvl w:val="0"/>
    </w:pPr>
    <w:rPr>
      <w:rFonts w:eastAsia="黑体" w:cs="宋体"/>
      <w:snapToGrid w:val="0"/>
      <w:color w:val="000000"/>
      <w:kern w:val="0"/>
    </w:rPr>
  </w:style>
  <w:style w:type="paragraph" w:customStyle="1" w:styleId="333">
    <w:name w:val="样式 正文缩进表后文ÕýÎÄ1文本正文非缩进段1特点正文不缩进s4正文（首行缩进两字）ALT+Z四号特点..."/>
    <w:basedOn w:val="4"/>
    <w:qFormat/>
    <w:uiPriority w:val="0"/>
    <w:pPr>
      <w:adjustRightInd w:val="0"/>
      <w:snapToGrid w:val="0"/>
      <w:spacing w:before="120" w:line="360" w:lineRule="auto"/>
      <w:ind w:firstLine="200"/>
    </w:pPr>
    <w:rPr>
      <w:rFonts w:cs="宋体"/>
      <w:b/>
      <w:bCs/>
      <w:snapToGrid w:val="0"/>
      <w:kern w:val="0"/>
      <w:szCs w:val="20"/>
    </w:rPr>
  </w:style>
  <w:style w:type="paragraph" w:customStyle="1" w:styleId="334">
    <w:name w:val="小表右"/>
    <w:basedOn w:val="1"/>
    <w:uiPriority w:val="0"/>
    <w:pPr>
      <w:keepNext/>
      <w:adjustRightInd w:val="0"/>
      <w:snapToGrid w:val="0"/>
      <w:spacing w:before="120" w:line="240" w:lineRule="atLeast"/>
      <w:ind w:right="84" w:rightChars="30"/>
      <w:jc w:val="right"/>
    </w:pPr>
    <w:rPr>
      <w:snapToGrid w:val="0"/>
      <w:kern w:val="0"/>
      <w:sz w:val="21"/>
      <w:szCs w:val="22"/>
    </w:rPr>
  </w:style>
  <w:style w:type="paragraph" w:customStyle="1" w:styleId="335">
    <w:name w:val="样式 表内容 + (符号) 宋体 蓝色"/>
    <w:basedOn w:val="191"/>
    <w:link w:val="336"/>
    <w:qFormat/>
    <w:uiPriority w:val="0"/>
    <w:pPr>
      <w:spacing w:line="360" w:lineRule="exact"/>
      <w:jc w:val="center"/>
    </w:pPr>
    <w:rPr>
      <w:rFonts w:eastAsia="宋体"/>
      <w:snapToGrid w:val="0"/>
      <w:color w:val="0000FF"/>
      <w:sz w:val="21"/>
      <w:szCs w:val="21"/>
    </w:rPr>
  </w:style>
  <w:style w:type="character" w:customStyle="1" w:styleId="336">
    <w:name w:val="样式 表内容 + (符号) 宋体 蓝色 Char"/>
    <w:link w:val="335"/>
    <w:qFormat/>
    <w:uiPriority w:val="0"/>
    <w:rPr>
      <w:rFonts w:eastAsia="宋体"/>
      <w:snapToGrid w:val="0"/>
      <w:color w:val="0000FF"/>
      <w:sz w:val="21"/>
      <w:szCs w:val="21"/>
      <w:lang w:val="en-US" w:eastAsia="zh-CN" w:bidi="ar-SA"/>
    </w:rPr>
  </w:style>
  <w:style w:type="paragraph" w:customStyle="1" w:styleId="337">
    <w:name w:val="样式 标题 11my标题1h11st levelSection Headl1Chapter HeadingHea...3"/>
    <w:basedOn w:val="2"/>
    <w:uiPriority w:val="0"/>
    <w:pPr>
      <w:tabs>
        <w:tab w:val="left" w:pos="1008"/>
        <w:tab w:val="left" w:pos="2268"/>
        <w:tab w:val="left" w:pos="3780"/>
        <w:tab w:val="center" w:pos="5102"/>
      </w:tabs>
      <w:adjustRightInd w:val="0"/>
      <w:snapToGrid w:val="0"/>
      <w:spacing w:before="190" w:line="300" w:lineRule="auto"/>
      <w:ind w:left="126" w:leftChars="50" w:right="126" w:rightChars="50"/>
      <w:jc w:val="center"/>
      <w:textAlignment w:val="baseline"/>
    </w:pPr>
    <w:rPr>
      <w:rFonts w:ascii="黑体" w:eastAsia="黑体"/>
      <w:b w:val="0"/>
      <w:bCs w:val="0"/>
      <w:snapToGrid w:val="0"/>
      <w:color w:val="000000"/>
      <w:kern w:val="0"/>
      <w:szCs w:val="28"/>
    </w:rPr>
  </w:style>
  <w:style w:type="paragraph" w:customStyle="1" w:styleId="338">
    <w:name w:val="Char1 Char Char Char Char Char Char"/>
    <w:basedOn w:val="2"/>
    <w:next w:val="2"/>
    <w:qFormat/>
    <w:uiPriority w:val="0"/>
    <w:pPr>
      <w:tabs>
        <w:tab w:val="left" w:pos="700"/>
      </w:tabs>
      <w:snapToGrid w:val="0"/>
      <w:spacing w:line="300" w:lineRule="auto"/>
    </w:pPr>
    <w:rPr>
      <w:rFonts w:ascii="仿宋_GB2312" w:hAnsi="Verdana" w:eastAsia="仿宋_GB2312"/>
      <w:b w:val="0"/>
      <w:snapToGrid w:val="0"/>
      <w:kern w:val="0"/>
      <w:szCs w:val="28"/>
      <w:lang w:eastAsia="en-US"/>
    </w:rPr>
  </w:style>
  <w:style w:type="paragraph" w:customStyle="1" w:styleId="339">
    <w:name w:val="表格文字1-小4居中"/>
    <w:basedOn w:val="1"/>
    <w:qFormat/>
    <w:uiPriority w:val="0"/>
    <w:pPr>
      <w:adjustRightInd w:val="0"/>
      <w:snapToGrid w:val="0"/>
      <w:spacing w:beforeLines="50" w:afterLines="50" w:line="300" w:lineRule="auto"/>
      <w:ind w:firstLine="22" w:firstLineChars="9"/>
      <w:jc w:val="center"/>
    </w:pPr>
  </w:style>
  <w:style w:type="paragraph" w:customStyle="1" w:styleId="340">
    <w:name w:val="样式 行距: 固定值 25 磅"/>
    <w:basedOn w:val="1"/>
    <w:uiPriority w:val="0"/>
    <w:pPr>
      <w:ind w:firstLine="600"/>
    </w:pPr>
    <w:rPr>
      <w:rFonts w:cs="宋体"/>
      <w:spacing w:val="10"/>
      <w:kern w:val="28"/>
      <w:szCs w:val="28"/>
    </w:rPr>
  </w:style>
  <w:style w:type="character" w:customStyle="1" w:styleId="341">
    <w:name w:val="表头 Char1"/>
    <w:qFormat/>
    <w:uiPriority w:val="0"/>
    <w:rPr>
      <w:rFonts w:ascii="Arial" w:hAnsi="Arial" w:eastAsia="黑体"/>
      <w:snapToGrid w:val="0"/>
      <w:spacing w:val="10"/>
      <w:kern w:val="24"/>
      <w:sz w:val="24"/>
      <w:szCs w:val="24"/>
      <w:lang w:val="en-US" w:eastAsia="zh-CN" w:bidi="ar-SA"/>
    </w:rPr>
  </w:style>
  <w:style w:type="paragraph" w:customStyle="1" w:styleId="342">
    <w:name w:val="表后注释"/>
    <w:basedOn w:val="47"/>
    <w:next w:val="47"/>
    <w:qFormat/>
    <w:uiPriority w:val="0"/>
    <w:pPr>
      <w:spacing w:after="0" w:line="400" w:lineRule="exact"/>
      <w:ind w:firstLine="200" w:firstLineChars="200"/>
    </w:pPr>
    <w:rPr>
      <w:rFonts w:eastAsia="宋体"/>
      <w:spacing w:val="10"/>
      <w:kern w:val="24"/>
      <w:sz w:val="24"/>
    </w:rPr>
  </w:style>
  <w:style w:type="character" w:customStyle="1" w:styleId="343">
    <w:name w:val="正文首行缩进 Char Char Char"/>
    <w:uiPriority w:val="0"/>
    <w:rPr>
      <w:rFonts w:eastAsia="宋体"/>
      <w:spacing w:val="10"/>
      <w:kern w:val="24"/>
      <w:sz w:val="28"/>
      <w:szCs w:val="28"/>
      <w:lang w:val="en-US" w:eastAsia="zh-CN" w:bidi="ar-SA"/>
    </w:rPr>
  </w:style>
  <w:style w:type="paragraph" w:customStyle="1" w:styleId="344">
    <w:name w:val="默认段落字体 Para Char Char Char Char Char Char Char"/>
    <w:basedOn w:val="1"/>
    <w:qFormat/>
    <w:uiPriority w:val="0"/>
    <w:pPr>
      <w:adjustRightInd w:val="0"/>
      <w:spacing w:line="360" w:lineRule="auto"/>
      <w:textAlignment w:val="baseline"/>
    </w:pPr>
    <w:rPr>
      <w:kern w:val="0"/>
    </w:rPr>
  </w:style>
  <w:style w:type="character" w:customStyle="1" w:styleId="345">
    <w:name w:val="正文A Char"/>
    <w:link w:val="237"/>
    <w:qFormat/>
    <w:uiPriority w:val="0"/>
    <w:rPr>
      <w:rFonts w:eastAsia="宋体"/>
      <w:snapToGrid w:val="0"/>
      <w:color w:val="000000"/>
      <w:sz w:val="24"/>
      <w:szCs w:val="24"/>
      <w:lang w:val="en-US" w:eastAsia="zh-CN" w:bidi="ar-SA"/>
    </w:rPr>
  </w:style>
  <w:style w:type="paragraph" w:customStyle="1" w:styleId="346">
    <w:name w:val="a标题1"/>
    <w:basedOn w:val="1"/>
    <w:uiPriority w:val="0"/>
    <w:pPr>
      <w:spacing w:beforeLines="50" w:afterLines="50" w:line="360" w:lineRule="auto"/>
      <w:jc w:val="center"/>
      <w:outlineLvl w:val="0"/>
    </w:pPr>
    <w:rPr>
      <w:rFonts w:ascii="黑体" w:eastAsia="黑体"/>
      <w:szCs w:val="28"/>
    </w:rPr>
  </w:style>
  <w:style w:type="paragraph" w:customStyle="1" w:styleId="347">
    <w:name w:val="a标题2"/>
    <w:basedOn w:val="1"/>
    <w:qFormat/>
    <w:uiPriority w:val="0"/>
    <w:pPr>
      <w:spacing w:beforeLines="50" w:line="360" w:lineRule="auto"/>
      <w:jc w:val="center"/>
      <w:outlineLvl w:val="1"/>
    </w:pPr>
    <w:rPr>
      <w:rFonts w:ascii="黑体" w:eastAsia="黑体"/>
      <w:szCs w:val="28"/>
    </w:rPr>
  </w:style>
  <w:style w:type="paragraph" w:customStyle="1" w:styleId="348">
    <w:name w:val="a标题3"/>
    <w:basedOn w:val="1"/>
    <w:qFormat/>
    <w:uiPriority w:val="0"/>
    <w:pPr>
      <w:spacing w:beforeLines="50" w:line="360" w:lineRule="auto"/>
      <w:jc w:val="left"/>
      <w:outlineLvl w:val="2"/>
    </w:pPr>
    <w:rPr>
      <w:szCs w:val="20"/>
    </w:rPr>
  </w:style>
  <w:style w:type="paragraph" w:customStyle="1" w:styleId="349">
    <w:name w:val="a表头"/>
    <w:basedOn w:val="1"/>
    <w:uiPriority w:val="0"/>
    <w:pPr>
      <w:spacing w:beforeLines="50" w:line="360" w:lineRule="auto"/>
      <w:jc w:val="left"/>
    </w:pPr>
    <w:rPr>
      <w:rFonts w:ascii="黑体" w:eastAsia="黑体"/>
      <w:szCs w:val="20"/>
    </w:rPr>
  </w:style>
  <w:style w:type="paragraph" w:customStyle="1" w:styleId="350">
    <w:name w:val="a图头"/>
    <w:basedOn w:val="1"/>
    <w:link w:val="402"/>
    <w:qFormat/>
    <w:uiPriority w:val="0"/>
    <w:pPr>
      <w:spacing w:beforeLines="50" w:line="360" w:lineRule="auto"/>
      <w:jc w:val="center"/>
    </w:pPr>
    <w:rPr>
      <w:rFonts w:ascii="黑体" w:eastAsia="黑体"/>
      <w:szCs w:val="20"/>
    </w:rPr>
  </w:style>
  <w:style w:type="paragraph" w:customStyle="1" w:styleId="351">
    <w:name w:val="a正文"/>
    <w:basedOn w:val="349"/>
    <w:qFormat/>
    <w:uiPriority w:val="0"/>
    <w:pPr>
      <w:jc w:val="both"/>
    </w:pPr>
    <w:rPr>
      <w:rFonts w:ascii="Times New Roman" w:eastAsia="宋体"/>
    </w:rPr>
  </w:style>
  <w:style w:type="paragraph" w:customStyle="1" w:styleId="352">
    <w:name w:val="a表内容"/>
    <w:basedOn w:val="351"/>
    <w:link w:val="403"/>
    <w:uiPriority w:val="0"/>
    <w:pPr>
      <w:spacing w:beforeLines="20" w:line="240" w:lineRule="auto"/>
      <w:ind w:firstLine="0" w:firstLineChars="0"/>
      <w:jc w:val="center"/>
    </w:pPr>
    <w:rPr>
      <w:sz w:val="21"/>
      <w:szCs w:val="21"/>
    </w:rPr>
  </w:style>
  <w:style w:type="character" w:customStyle="1" w:styleId="353">
    <w:name w:val="小标题 Char Char"/>
    <w:qFormat/>
    <w:uiPriority w:val="0"/>
    <w:rPr>
      <w:rFonts w:ascii="黑体" w:hAnsi="宋体" w:eastAsia="黑体" w:cs="宋体"/>
      <w:snapToGrid w:val="0"/>
      <w:sz w:val="24"/>
      <w:szCs w:val="24"/>
      <w:lang w:val="en-US" w:eastAsia="zh-CN" w:bidi="ar-SA"/>
    </w:rPr>
  </w:style>
  <w:style w:type="character" w:customStyle="1" w:styleId="354">
    <w:name w:val="1.1 Char"/>
    <w:qFormat/>
    <w:uiPriority w:val="0"/>
    <w:rPr>
      <w:rFonts w:ascii="Arial" w:hAnsi="Arial" w:eastAsia="黑体"/>
      <w:b/>
      <w:bCs/>
      <w:kern w:val="2"/>
      <w:sz w:val="32"/>
      <w:szCs w:val="32"/>
      <w:lang w:val="en-US" w:eastAsia="zh-CN" w:bidi="ar-SA"/>
    </w:rPr>
  </w:style>
  <w:style w:type="paragraph" w:customStyle="1" w:styleId="355">
    <w:name w:val="smj"/>
    <w:basedOn w:val="1"/>
    <w:link w:val="445"/>
    <w:uiPriority w:val="0"/>
    <w:rPr>
      <w:rFonts w:eastAsia="黑体"/>
      <w:szCs w:val="20"/>
    </w:rPr>
  </w:style>
  <w:style w:type="character" w:customStyle="1" w:styleId="356">
    <w:name w:val="正文（首行缩进两字） Char2"/>
    <w:qFormat/>
    <w:uiPriority w:val="0"/>
    <w:rPr>
      <w:rFonts w:eastAsia="宋体"/>
      <w:kern w:val="2"/>
      <w:sz w:val="21"/>
      <w:lang w:val="en-US" w:eastAsia="zh-CN"/>
    </w:rPr>
  </w:style>
  <w:style w:type="paragraph" w:customStyle="1" w:styleId="357">
    <w:name w:val="正文1.5 倍行距"/>
    <w:basedOn w:val="1"/>
    <w:link w:val="358"/>
    <w:qFormat/>
    <w:uiPriority w:val="0"/>
    <w:pPr>
      <w:spacing w:line="360" w:lineRule="auto"/>
      <w:ind w:firstLine="480"/>
    </w:pPr>
    <w:rPr>
      <w:rFonts w:cs="宋体"/>
      <w:szCs w:val="20"/>
    </w:rPr>
  </w:style>
  <w:style w:type="character" w:customStyle="1" w:styleId="358">
    <w:name w:val="正文1.5 倍行距 Char"/>
    <w:link w:val="357"/>
    <w:uiPriority w:val="0"/>
    <w:rPr>
      <w:rFonts w:eastAsia="宋体" w:cs="宋体"/>
      <w:kern w:val="2"/>
      <w:sz w:val="24"/>
      <w:lang w:val="en-US" w:eastAsia="zh-CN" w:bidi="ar-SA"/>
    </w:rPr>
  </w:style>
  <w:style w:type="paragraph" w:customStyle="1" w:styleId="359">
    <w:name w:val="列表1"/>
    <w:basedOn w:val="34"/>
    <w:qFormat/>
    <w:uiPriority w:val="0"/>
    <w:pPr>
      <w:tabs>
        <w:tab w:val="left" w:pos="5940"/>
      </w:tabs>
      <w:autoSpaceDE/>
      <w:autoSpaceDN/>
      <w:spacing w:line="360" w:lineRule="auto"/>
    </w:pPr>
    <w:rPr>
      <w:rFonts w:ascii="宋体"/>
      <w:kern w:val="2"/>
      <w:sz w:val="32"/>
    </w:rPr>
  </w:style>
  <w:style w:type="paragraph" w:customStyle="1" w:styleId="360">
    <w:name w:val="篇号及标题"/>
    <w:qFormat/>
    <w:uiPriority w:val="0"/>
    <w:pPr>
      <w:spacing w:line="360" w:lineRule="auto"/>
      <w:jc w:val="center"/>
    </w:pPr>
    <w:rPr>
      <w:rFonts w:ascii="宋体" w:hAnsi="Times New Roman" w:eastAsia="宋体" w:cs="Times New Roman"/>
      <w:kern w:val="2"/>
      <w:sz w:val="44"/>
      <w:lang w:val="en-US" w:eastAsia="zh-CN" w:bidi="ar-SA"/>
    </w:rPr>
  </w:style>
  <w:style w:type="paragraph" w:customStyle="1" w:styleId="361">
    <w:name w:val="前言"/>
    <w:next w:val="1"/>
    <w:uiPriority w:val="0"/>
    <w:pPr>
      <w:spacing w:line="360" w:lineRule="auto"/>
      <w:jc w:val="center"/>
    </w:pPr>
    <w:rPr>
      <w:rFonts w:ascii="宋体" w:hAnsi="Times New Roman" w:eastAsia="黑体" w:cs="Times New Roman"/>
      <w:kern w:val="2"/>
      <w:sz w:val="32"/>
      <w:lang w:val="en-US" w:eastAsia="zh-CN" w:bidi="ar-SA"/>
    </w:rPr>
  </w:style>
  <w:style w:type="paragraph" w:customStyle="1" w:styleId="362">
    <w:name w:val="目次 附件名"/>
    <w:basedOn w:val="32"/>
    <w:qFormat/>
    <w:uiPriority w:val="0"/>
    <w:pPr>
      <w:adjustRightInd w:val="0"/>
      <w:snapToGrid w:val="0"/>
      <w:spacing w:line="360" w:lineRule="auto"/>
      <w:ind w:firstLine="567"/>
      <w:jc w:val="left"/>
    </w:pPr>
    <w:rPr>
      <w:b w:val="0"/>
      <w:sz w:val="20"/>
      <w:szCs w:val="20"/>
    </w:rPr>
  </w:style>
  <w:style w:type="paragraph" w:customStyle="1" w:styleId="363">
    <w:name w:val="页眉，无横线"/>
    <w:basedOn w:val="1"/>
    <w:qFormat/>
    <w:uiPriority w:val="0"/>
    <w:pPr>
      <w:tabs>
        <w:tab w:val="center" w:pos="4153"/>
        <w:tab w:val="right" w:pos="8306"/>
      </w:tabs>
      <w:adjustRightInd w:val="0"/>
      <w:snapToGrid w:val="0"/>
      <w:ind w:firstLine="567"/>
    </w:pPr>
    <w:rPr>
      <w:sz w:val="18"/>
      <w:szCs w:val="20"/>
    </w:rPr>
  </w:style>
  <w:style w:type="paragraph" w:customStyle="1" w:styleId="364">
    <w:name w:val="项目名称"/>
    <w:basedOn w:val="1"/>
    <w:uiPriority w:val="0"/>
    <w:pPr>
      <w:adjustRightInd w:val="0"/>
      <w:snapToGrid w:val="0"/>
      <w:spacing w:line="360" w:lineRule="auto"/>
      <w:jc w:val="center"/>
    </w:pPr>
    <w:rPr>
      <w:rFonts w:ascii="文鼎大标宋简" w:eastAsia="文鼎大标宋简"/>
      <w:sz w:val="56"/>
      <w:szCs w:val="20"/>
    </w:rPr>
  </w:style>
  <w:style w:type="paragraph" w:customStyle="1" w:styleId="365">
    <w:name w:val="图章"/>
    <w:basedOn w:val="1"/>
    <w:qFormat/>
    <w:uiPriority w:val="0"/>
    <w:pPr>
      <w:adjustRightInd w:val="0"/>
      <w:snapToGrid w:val="0"/>
      <w:jc w:val="left"/>
    </w:pPr>
    <w:rPr>
      <w:snapToGrid w:val="0"/>
      <w:kern w:val="0"/>
      <w:sz w:val="18"/>
      <w:szCs w:val="20"/>
    </w:rPr>
  </w:style>
  <w:style w:type="paragraph" w:customStyle="1" w:styleId="366">
    <w:name w:val="本册报告名称"/>
    <w:basedOn w:val="364"/>
    <w:qFormat/>
    <w:uiPriority w:val="0"/>
    <w:rPr>
      <w:sz w:val="48"/>
    </w:rPr>
  </w:style>
  <w:style w:type="paragraph" w:customStyle="1" w:styleId="367">
    <w:name w:val="目次"/>
    <w:next w:val="1"/>
    <w:uiPriority w:val="0"/>
    <w:pPr>
      <w:jc w:val="center"/>
    </w:pPr>
    <w:rPr>
      <w:rFonts w:ascii="宋体" w:hAnsi="Times New Roman" w:eastAsia="黑体" w:cs="Times New Roman"/>
      <w:kern w:val="2"/>
      <w:sz w:val="32"/>
      <w:lang w:val="en-US" w:eastAsia="zh-CN" w:bidi="ar-SA"/>
    </w:rPr>
  </w:style>
  <w:style w:type="paragraph" w:customStyle="1" w:styleId="368">
    <w:name w:val="编制人员情况"/>
    <w:basedOn w:val="1"/>
    <w:qFormat/>
    <w:uiPriority w:val="0"/>
    <w:pPr>
      <w:tabs>
        <w:tab w:val="left" w:pos="600"/>
        <w:tab w:val="left" w:pos="3700"/>
        <w:tab w:val="left" w:pos="6900"/>
      </w:tabs>
      <w:adjustRightInd w:val="0"/>
      <w:snapToGrid w:val="0"/>
      <w:spacing w:after="120" w:line="360" w:lineRule="auto"/>
      <w:ind w:left="420" w:firstLine="180"/>
    </w:pPr>
    <w:rPr>
      <w:rFonts w:cs="宋体"/>
      <w:sz w:val="32"/>
      <w:szCs w:val="20"/>
    </w:rPr>
  </w:style>
  <w:style w:type="paragraph" w:customStyle="1" w:styleId="369">
    <w:name w:val="附件标题"/>
    <w:qFormat/>
    <w:uiPriority w:val="0"/>
    <w:pPr>
      <w:spacing w:line="360" w:lineRule="auto"/>
      <w:jc w:val="center"/>
    </w:pPr>
    <w:rPr>
      <w:rFonts w:ascii="宋体" w:hAnsi="Times New Roman" w:eastAsia="黑体" w:cs="Times New Roman"/>
      <w:kern w:val="2"/>
      <w:sz w:val="24"/>
      <w:lang w:val="en-US" w:eastAsia="zh-CN" w:bidi="ar-SA"/>
    </w:rPr>
  </w:style>
  <w:style w:type="paragraph" w:customStyle="1" w:styleId="370">
    <w:name w:val="标题 4 宋体"/>
    <w:basedOn w:val="6"/>
    <w:next w:val="1"/>
    <w:uiPriority w:val="0"/>
    <w:pPr>
      <w:widowControl w:val="0"/>
      <w:tabs>
        <w:tab w:val="left" w:pos="1064"/>
      </w:tabs>
      <w:adjustRightInd w:val="0"/>
      <w:snapToGrid w:val="0"/>
      <w:spacing w:beforeLines="0" w:line="360" w:lineRule="auto"/>
      <w:ind w:firstLine="200" w:firstLineChars="200"/>
    </w:pPr>
    <w:rPr>
      <w:rFonts w:ascii="宋体" w:eastAsia="宋体"/>
      <w:bCs w:val="0"/>
      <w:color w:val="auto"/>
      <w:szCs w:val="24"/>
    </w:rPr>
  </w:style>
  <w:style w:type="paragraph" w:customStyle="1" w:styleId="371">
    <w:name w:val="Char Char Char Char Char Char Char1"/>
    <w:basedOn w:val="16"/>
    <w:qFormat/>
    <w:uiPriority w:val="0"/>
    <w:pPr>
      <w:spacing w:before="360" w:after="120" w:line="360" w:lineRule="auto"/>
    </w:pPr>
    <w:rPr>
      <w:rFonts w:ascii="Tahoma" w:hAnsi="Tahoma" w:eastAsia="黑体"/>
      <w:sz w:val="30"/>
    </w:rPr>
  </w:style>
  <w:style w:type="paragraph" w:customStyle="1" w:styleId="372">
    <w:name w:val="样式 首行缩进:  1 厘米"/>
    <w:basedOn w:val="1"/>
    <w:qFormat/>
    <w:uiPriority w:val="0"/>
    <w:pPr>
      <w:adjustRightInd w:val="0"/>
      <w:snapToGrid w:val="0"/>
      <w:spacing w:line="312" w:lineRule="auto"/>
      <w:ind w:firstLine="567"/>
    </w:pPr>
    <w:rPr>
      <w:rFonts w:cs="宋体"/>
      <w:szCs w:val="20"/>
    </w:rPr>
  </w:style>
  <w:style w:type="paragraph" w:customStyle="1" w:styleId="373">
    <w:name w:val="正文缩进2字符"/>
    <w:basedOn w:val="1"/>
    <w:uiPriority w:val="0"/>
    <w:pPr>
      <w:adjustRightInd w:val="0"/>
      <w:snapToGrid w:val="0"/>
      <w:spacing w:line="336" w:lineRule="auto"/>
      <w:ind w:firstLine="560"/>
    </w:pPr>
    <w:rPr>
      <w:szCs w:val="28"/>
    </w:rPr>
  </w:style>
  <w:style w:type="paragraph" w:customStyle="1" w:styleId="374">
    <w:name w:val="正文(首行缩进2字)"/>
    <w:basedOn w:val="1"/>
    <w:qFormat/>
    <w:uiPriority w:val="0"/>
    <w:pPr>
      <w:overflowPunct w:val="0"/>
      <w:autoSpaceDE w:val="0"/>
      <w:autoSpaceDN w:val="0"/>
      <w:adjustRightInd w:val="0"/>
      <w:snapToGrid w:val="0"/>
      <w:spacing w:before="60" w:after="60" w:line="300" w:lineRule="auto"/>
      <w:textAlignment w:val="baseline"/>
    </w:pPr>
    <w:rPr>
      <w:kern w:val="0"/>
      <w:szCs w:val="20"/>
    </w:rPr>
  </w:style>
  <w:style w:type="paragraph" w:customStyle="1" w:styleId="375">
    <w:name w:val="样式 标题 2 + 两端对齐 段前: 0 磅 段后: 0 磅 行距: 多倍行距 1.25 字行"/>
    <w:basedOn w:val="3"/>
    <w:qFormat/>
    <w:uiPriority w:val="0"/>
    <w:pPr>
      <w:keepNext w:val="0"/>
      <w:tabs>
        <w:tab w:val="left" w:pos="720"/>
        <w:tab w:val="left" w:pos="1278"/>
        <w:tab w:val="clear" w:pos="900"/>
      </w:tabs>
      <w:adjustRightInd w:val="0"/>
      <w:snapToGrid w:val="0"/>
      <w:spacing w:beforeLines="50" w:afterLines="50" w:line="240" w:lineRule="auto"/>
      <w:ind w:firstLine="200" w:firstLineChars="200"/>
    </w:pPr>
    <w:rPr>
      <w:rFonts w:hAnsi="Arial" w:cs="宋体"/>
      <w:b/>
      <w:snapToGrid w:val="0"/>
      <w:sz w:val="28"/>
    </w:rPr>
  </w:style>
  <w:style w:type="paragraph" w:customStyle="1" w:styleId="376">
    <w:name w:val="表正文2"/>
    <w:basedOn w:val="1"/>
    <w:uiPriority w:val="0"/>
    <w:pPr>
      <w:tabs>
        <w:tab w:val="left" w:pos="655"/>
        <w:tab w:val="left" w:pos="2947"/>
        <w:tab w:val="left" w:pos="6415"/>
        <w:tab w:val="left" w:pos="7495"/>
      </w:tabs>
      <w:adjustRightInd w:val="0"/>
      <w:snapToGrid w:val="0"/>
      <w:spacing w:line="300" w:lineRule="auto"/>
      <w:jc w:val="center"/>
    </w:pPr>
    <w:rPr>
      <w:rFonts w:cs="Arial"/>
      <w:spacing w:val="-6"/>
      <w:lang w:val="ru-RU"/>
    </w:rPr>
  </w:style>
  <w:style w:type="paragraph" w:customStyle="1" w:styleId="377">
    <w:name w:val="初设正文"/>
    <w:basedOn w:val="1"/>
    <w:link w:val="378"/>
    <w:qFormat/>
    <w:uiPriority w:val="0"/>
    <w:pPr>
      <w:adjustRightInd w:val="0"/>
      <w:snapToGrid w:val="0"/>
      <w:spacing w:line="324" w:lineRule="auto"/>
      <w:ind w:left="227" w:right="170"/>
    </w:pPr>
  </w:style>
  <w:style w:type="character" w:customStyle="1" w:styleId="378">
    <w:name w:val="初设正文 Char"/>
    <w:link w:val="377"/>
    <w:qFormat/>
    <w:uiPriority w:val="0"/>
    <w:rPr>
      <w:rFonts w:ascii="宋体" w:hAnsi="宋体" w:eastAsia="宋体"/>
      <w:kern w:val="2"/>
      <w:sz w:val="24"/>
      <w:szCs w:val="24"/>
      <w:lang w:val="en-US" w:eastAsia="zh-CN" w:bidi="ar-SA"/>
    </w:rPr>
  </w:style>
  <w:style w:type="paragraph" w:customStyle="1" w:styleId="379">
    <w:name w:val="首行缩进2字符"/>
    <w:basedOn w:val="1"/>
    <w:qFormat/>
    <w:uiPriority w:val="0"/>
    <w:pPr>
      <w:adjustRightInd w:val="0"/>
      <w:snapToGrid w:val="0"/>
      <w:spacing w:line="360" w:lineRule="auto"/>
      <w:ind w:firstLine="480"/>
    </w:pPr>
  </w:style>
  <w:style w:type="paragraph" w:customStyle="1" w:styleId="380">
    <w:name w:val="表中文字中"/>
    <w:basedOn w:val="1"/>
    <w:next w:val="1"/>
    <w:uiPriority w:val="0"/>
    <w:pPr>
      <w:overflowPunct w:val="0"/>
      <w:autoSpaceDE w:val="0"/>
      <w:autoSpaceDN w:val="0"/>
      <w:adjustRightInd w:val="0"/>
      <w:snapToGrid w:val="0"/>
      <w:spacing w:line="0" w:lineRule="atLeast"/>
      <w:ind w:firstLine="480"/>
      <w:jc w:val="center"/>
    </w:pPr>
    <w:rPr>
      <w:color w:val="000000"/>
      <w:lang w:val="zh-CN"/>
    </w:rPr>
  </w:style>
  <w:style w:type="paragraph" w:customStyle="1" w:styleId="381">
    <w:name w:val="普通文本"/>
    <w:basedOn w:val="1"/>
    <w:qFormat/>
    <w:uiPriority w:val="0"/>
    <w:pPr>
      <w:overflowPunct w:val="0"/>
      <w:autoSpaceDE w:val="0"/>
      <w:autoSpaceDN w:val="0"/>
      <w:adjustRightInd w:val="0"/>
      <w:snapToGrid w:val="0"/>
      <w:spacing w:line="300" w:lineRule="auto"/>
      <w:ind w:left="120" w:leftChars="50" w:right="240" w:rightChars="100" w:firstLine="560"/>
      <w:jc w:val="left"/>
    </w:pPr>
    <w:rPr>
      <w:rFonts w:ascii="仿宋_GB2312" w:eastAsia="仿宋_GB2312"/>
      <w:szCs w:val="20"/>
      <w:lang w:val="zh-CN"/>
    </w:rPr>
  </w:style>
  <w:style w:type="character" w:customStyle="1" w:styleId="382">
    <w:name w:val="标题 5 Char1"/>
    <w:link w:val="7"/>
    <w:qFormat/>
    <w:uiPriority w:val="0"/>
    <w:rPr>
      <w:b/>
      <w:bCs/>
      <w:color w:val="000000"/>
      <w:kern w:val="2"/>
      <w:position w:val="6"/>
      <w:sz w:val="24"/>
      <w:szCs w:val="28"/>
    </w:rPr>
  </w:style>
  <w:style w:type="paragraph" w:customStyle="1" w:styleId="383">
    <w:name w:val="样式 标题 7标题 7 表无节条标题 7 表1表头 + 非(西文)粗体"/>
    <w:basedOn w:val="9"/>
    <w:uiPriority w:val="0"/>
    <w:pPr>
      <w:keepLines w:val="0"/>
      <w:widowControl w:val="0"/>
      <w:tabs>
        <w:tab w:val="left" w:pos="737"/>
        <w:tab w:val="left" w:pos="1134"/>
      </w:tabs>
      <w:spacing w:before="0" w:after="0" w:line="240" w:lineRule="auto"/>
      <w:ind w:left="1134" w:hanging="846"/>
      <w:jc w:val="center"/>
    </w:pPr>
    <w:rPr>
      <w:rFonts w:ascii="黑体" w:eastAsia="黑体"/>
      <w:b w:val="0"/>
      <w:bCs w:val="0"/>
      <w:color w:val="auto"/>
      <w:szCs w:val="20"/>
    </w:rPr>
  </w:style>
  <w:style w:type="character" w:customStyle="1" w:styleId="384">
    <w:name w:val="正文首行缩进 Char"/>
    <w:qFormat/>
    <w:uiPriority w:val="0"/>
    <w:rPr>
      <w:rFonts w:ascii="宋体" w:hAnsi="宋体" w:eastAsia="宋体"/>
      <w:kern w:val="2"/>
      <w:sz w:val="24"/>
      <w:szCs w:val="24"/>
      <w:lang w:val="en-US" w:eastAsia="zh-CN" w:bidi="ar-SA"/>
    </w:rPr>
  </w:style>
  <w:style w:type="character" w:customStyle="1" w:styleId="385">
    <w:name w:val="标题 5 Char"/>
    <w:qFormat/>
    <w:uiPriority w:val="0"/>
    <w:rPr>
      <w:rFonts w:ascii="宋体" w:eastAsia="黑体"/>
      <w:kern w:val="2"/>
      <w:sz w:val="24"/>
      <w:szCs w:val="24"/>
      <w:lang w:val="en-US" w:eastAsia="zh-CN" w:bidi="ar-SA"/>
    </w:rPr>
  </w:style>
  <w:style w:type="paragraph" w:customStyle="1" w:styleId="386">
    <w:name w:val="表中文字居中"/>
    <w:basedOn w:val="1"/>
    <w:link w:val="387"/>
    <w:uiPriority w:val="0"/>
    <w:pPr>
      <w:shd w:val="clear" w:color="auto" w:fill="FFFFFF"/>
      <w:tabs>
        <w:tab w:val="left" w:pos="360"/>
        <w:tab w:val="left" w:pos="1727"/>
        <w:tab w:val="left" w:pos="1884"/>
        <w:tab w:val="right" w:leader="middleDot" w:pos="9072"/>
      </w:tabs>
      <w:adjustRightInd w:val="0"/>
      <w:snapToGrid w:val="0"/>
      <w:spacing w:line="0" w:lineRule="atLeast"/>
      <w:ind w:left="28" w:leftChars="10" w:right="28" w:rightChars="10"/>
      <w:jc w:val="center"/>
      <w:outlineLvl w:val="0"/>
    </w:pPr>
    <w:rPr>
      <w:szCs w:val="20"/>
    </w:rPr>
  </w:style>
  <w:style w:type="character" w:customStyle="1" w:styleId="387">
    <w:name w:val="表中文字居中 Char"/>
    <w:link w:val="386"/>
    <w:qFormat/>
    <w:uiPriority w:val="0"/>
    <w:rPr>
      <w:rFonts w:ascii="宋体" w:eastAsia="宋体"/>
      <w:kern w:val="2"/>
      <w:sz w:val="24"/>
      <w:lang w:val="en-US" w:eastAsia="zh-CN" w:bidi="ar-SA"/>
    </w:rPr>
  </w:style>
  <w:style w:type="paragraph" w:customStyle="1" w:styleId="388">
    <w:name w:val="表头或图题"/>
    <w:basedOn w:val="1"/>
    <w:next w:val="1"/>
    <w:link w:val="389"/>
    <w:qFormat/>
    <w:uiPriority w:val="0"/>
    <w:pPr>
      <w:tabs>
        <w:tab w:val="left" w:pos="1727"/>
        <w:tab w:val="left" w:pos="1884"/>
      </w:tabs>
      <w:adjustRightInd w:val="0"/>
      <w:snapToGrid w:val="0"/>
      <w:spacing w:beforeLines="20" w:afterLines="20"/>
      <w:ind w:right="432" w:rightChars="180" w:firstLine="480"/>
      <w:jc w:val="center"/>
    </w:pPr>
    <w:rPr>
      <w:rFonts w:ascii="黑体" w:eastAsia="黑体"/>
    </w:rPr>
  </w:style>
  <w:style w:type="character" w:customStyle="1" w:styleId="389">
    <w:name w:val="表头或图题 Char"/>
    <w:link w:val="388"/>
    <w:uiPriority w:val="0"/>
    <w:rPr>
      <w:rFonts w:ascii="黑体" w:eastAsia="黑体"/>
      <w:kern w:val="2"/>
      <w:sz w:val="24"/>
      <w:szCs w:val="24"/>
      <w:lang w:val="en-US" w:eastAsia="zh-CN" w:bidi="ar-SA"/>
    </w:rPr>
  </w:style>
  <w:style w:type="character" w:customStyle="1" w:styleId="390">
    <w:name w:val="注释 Char"/>
    <w:link w:val="196"/>
    <w:qFormat/>
    <w:uiPriority w:val="0"/>
    <w:rPr>
      <w:rFonts w:eastAsia="宋体"/>
      <w:kern w:val="2"/>
      <w:sz w:val="28"/>
      <w:szCs w:val="24"/>
      <w:lang w:val="en-US" w:eastAsia="zh-CN" w:bidi="ar-SA"/>
    </w:rPr>
  </w:style>
  <w:style w:type="paragraph" w:customStyle="1" w:styleId="391">
    <w:name w:val="样式 正文缩进 + 首行缩进:  2 字符"/>
    <w:basedOn w:val="4"/>
    <w:qFormat/>
    <w:uiPriority w:val="0"/>
    <w:pPr>
      <w:adjustRightInd w:val="0"/>
      <w:snapToGrid w:val="0"/>
      <w:spacing w:line="336" w:lineRule="auto"/>
      <w:ind w:firstLine="200"/>
    </w:pPr>
    <w:rPr>
      <w:rFonts w:ascii="仿宋_GB2312" w:eastAsia="仿宋_GB2312" w:cs="宋体"/>
    </w:rPr>
  </w:style>
  <w:style w:type="paragraph" w:customStyle="1" w:styleId="392">
    <w:name w:val="表格文字（表2）"/>
    <w:basedOn w:val="81"/>
    <w:uiPriority w:val="0"/>
    <w:pPr>
      <w:adjustRightInd/>
      <w:spacing w:line="240" w:lineRule="exact"/>
      <w:ind w:left="-159" w:leftChars="-159" w:firstLine="212" w:firstLineChars="212"/>
      <w:jc w:val="both"/>
    </w:pPr>
    <w:rPr>
      <w:kern w:val="0"/>
      <w:szCs w:val="20"/>
    </w:rPr>
  </w:style>
  <w:style w:type="character" w:customStyle="1" w:styleId="393">
    <w:name w:val="样式1 Char"/>
    <w:qFormat/>
    <w:uiPriority w:val="0"/>
    <w:rPr>
      <w:rFonts w:eastAsia="宋体"/>
      <w:kern w:val="2"/>
      <w:sz w:val="28"/>
      <w:szCs w:val="28"/>
      <w:lang w:val="en-US" w:eastAsia="zh-CN" w:bidi="ar-SA"/>
    </w:rPr>
  </w:style>
  <w:style w:type="paragraph" w:customStyle="1" w:styleId="39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395">
    <w:name w:val="样式 标题 3 + 段前: 0.2 行 段后: 0.2 行"/>
    <w:basedOn w:val="5"/>
    <w:uiPriority w:val="0"/>
    <w:pPr>
      <w:keepNext w:val="0"/>
      <w:keepLines w:val="0"/>
      <w:tabs>
        <w:tab w:val="left" w:pos="1100"/>
      </w:tabs>
      <w:adjustRightInd w:val="0"/>
      <w:snapToGrid w:val="0"/>
      <w:spacing w:beforeLines="20" w:afterLines="20" w:line="336" w:lineRule="auto"/>
      <w:ind w:left="1100" w:hanging="720"/>
    </w:pPr>
    <w:rPr>
      <w:rFonts w:cs="宋体"/>
      <w:b/>
      <w:bCs w:val="0"/>
      <w:kern w:val="28"/>
      <w:sz w:val="28"/>
      <w:szCs w:val="20"/>
    </w:rPr>
  </w:style>
  <w:style w:type="character" w:customStyle="1" w:styleId="396">
    <w:name w:val="1) Char1"/>
    <w:qFormat/>
    <w:uiPriority w:val="0"/>
    <w:rPr>
      <w:rFonts w:eastAsia="宋体"/>
      <w:kern w:val="2"/>
      <w:sz w:val="28"/>
      <w:lang w:val="en-US" w:eastAsia="zh-CN" w:bidi="ar-SA"/>
    </w:rPr>
  </w:style>
  <w:style w:type="paragraph" w:customStyle="1" w:styleId="397">
    <w:name w:val="报告标3"/>
    <w:basedOn w:val="1"/>
    <w:qFormat/>
    <w:uiPriority w:val="0"/>
    <w:pPr>
      <w:adjustRightInd w:val="0"/>
      <w:snapToGrid w:val="0"/>
      <w:spacing w:line="300" w:lineRule="auto"/>
    </w:pPr>
    <w:rPr>
      <w:szCs w:val="20"/>
    </w:rPr>
  </w:style>
  <w:style w:type="paragraph" w:customStyle="1" w:styleId="398">
    <w:name w:val="正文缩进2"/>
    <w:basedOn w:val="1"/>
    <w:uiPriority w:val="0"/>
    <w:pPr>
      <w:snapToGrid w:val="0"/>
      <w:spacing w:beforeLines="50" w:line="312" w:lineRule="auto"/>
      <w:ind w:firstLine="480"/>
      <w:jc w:val="left"/>
    </w:pPr>
    <w:rPr>
      <w:rFonts w:hint="eastAsia"/>
      <w:color w:val="000000"/>
      <w:szCs w:val="20"/>
    </w:rPr>
  </w:style>
  <w:style w:type="paragraph" w:customStyle="1" w:styleId="399">
    <w:name w:val="azw"/>
    <w:basedOn w:val="1"/>
    <w:link w:val="400"/>
    <w:qFormat/>
    <w:uiPriority w:val="0"/>
    <w:pPr>
      <w:adjustRightInd w:val="0"/>
      <w:snapToGrid w:val="0"/>
      <w:spacing w:beforeLines="50" w:line="360" w:lineRule="auto"/>
    </w:pPr>
    <w:rPr>
      <w:snapToGrid w:val="0"/>
      <w:kern w:val="0"/>
      <w:szCs w:val="21"/>
    </w:rPr>
  </w:style>
  <w:style w:type="character" w:customStyle="1" w:styleId="400">
    <w:name w:val="azw Char"/>
    <w:link w:val="399"/>
    <w:qFormat/>
    <w:uiPriority w:val="0"/>
    <w:rPr>
      <w:rFonts w:eastAsia="宋体"/>
      <w:snapToGrid w:val="0"/>
      <w:sz w:val="24"/>
      <w:szCs w:val="21"/>
      <w:lang w:val="en-US" w:eastAsia="zh-CN" w:bidi="ar-SA"/>
    </w:rPr>
  </w:style>
  <w:style w:type="paragraph" w:customStyle="1" w:styleId="401">
    <w:name w:val="样式 正文首行缩进 + (符号) 宋体 首行缩进:  2 字符"/>
    <w:basedOn w:val="47"/>
    <w:semiHidden/>
    <w:uiPriority w:val="0"/>
    <w:pPr>
      <w:adjustRightInd w:val="0"/>
      <w:snapToGrid w:val="0"/>
      <w:spacing w:before="120" w:after="0" w:line="336" w:lineRule="auto"/>
      <w:ind w:firstLine="200" w:firstLineChars="200"/>
      <w:jc w:val="left"/>
    </w:pPr>
    <w:rPr>
      <w:rFonts w:ascii="宋体" w:hAnsi="宋体" w:eastAsia="宋体" w:cs="宋体"/>
      <w:snapToGrid w:val="0"/>
      <w:kern w:val="0"/>
      <w:sz w:val="28"/>
      <w:szCs w:val="20"/>
    </w:rPr>
  </w:style>
  <w:style w:type="character" w:customStyle="1" w:styleId="402">
    <w:name w:val="a图头 Char"/>
    <w:link w:val="350"/>
    <w:qFormat/>
    <w:uiPriority w:val="0"/>
    <w:rPr>
      <w:rFonts w:ascii="黑体" w:eastAsia="黑体"/>
      <w:kern w:val="2"/>
      <w:sz w:val="24"/>
      <w:lang w:val="en-US" w:eastAsia="zh-CN" w:bidi="ar-SA"/>
    </w:rPr>
  </w:style>
  <w:style w:type="character" w:customStyle="1" w:styleId="403">
    <w:name w:val="a表内容 Char"/>
    <w:link w:val="352"/>
    <w:qFormat/>
    <w:uiPriority w:val="0"/>
    <w:rPr>
      <w:rFonts w:eastAsia="宋体"/>
      <w:kern w:val="2"/>
      <w:sz w:val="21"/>
      <w:szCs w:val="21"/>
      <w:lang w:val="en-US" w:eastAsia="zh-CN" w:bidi="ar-SA"/>
    </w:rPr>
  </w:style>
  <w:style w:type="paragraph" w:customStyle="1" w:styleId="404">
    <w:name w:val="ab3"/>
    <w:basedOn w:val="6"/>
    <w:link w:val="406"/>
    <w:uiPriority w:val="0"/>
    <w:pPr>
      <w:widowControl w:val="0"/>
      <w:tabs>
        <w:tab w:val="left" w:pos="780"/>
      </w:tabs>
      <w:adjustRightInd w:val="0"/>
      <w:snapToGrid w:val="0"/>
      <w:spacing w:line="360" w:lineRule="auto"/>
      <w:jc w:val="left"/>
      <w:textAlignment w:val="baseline"/>
      <w:outlineLvl w:val="2"/>
    </w:pPr>
    <w:rPr>
      <w:snapToGrid w:val="0"/>
      <w:color w:val="auto"/>
      <w:kern w:val="0"/>
      <w:szCs w:val="24"/>
    </w:rPr>
  </w:style>
  <w:style w:type="paragraph" w:customStyle="1" w:styleId="405">
    <w:name w:val="ab4"/>
    <w:basedOn w:val="6"/>
    <w:link w:val="407"/>
    <w:qFormat/>
    <w:uiPriority w:val="0"/>
    <w:pPr>
      <w:widowControl w:val="0"/>
      <w:tabs>
        <w:tab w:val="left" w:pos="780"/>
      </w:tabs>
      <w:adjustRightInd w:val="0"/>
      <w:snapToGrid w:val="0"/>
      <w:spacing w:line="360" w:lineRule="auto"/>
      <w:jc w:val="left"/>
      <w:textAlignment w:val="baseline"/>
    </w:pPr>
    <w:rPr>
      <w:rFonts w:eastAsia="宋体"/>
      <w:snapToGrid w:val="0"/>
      <w:color w:val="auto"/>
      <w:kern w:val="0"/>
      <w:szCs w:val="24"/>
    </w:rPr>
  </w:style>
  <w:style w:type="character" w:customStyle="1" w:styleId="406">
    <w:name w:val="ab3 Char"/>
    <w:link w:val="404"/>
    <w:qFormat/>
    <w:uiPriority w:val="0"/>
    <w:rPr>
      <w:rFonts w:eastAsia="黑体"/>
      <w:bCs/>
      <w:snapToGrid w:val="0"/>
      <w:sz w:val="24"/>
      <w:szCs w:val="24"/>
      <w:lang w:val="en-US" w:eastAsia="zh-CN" w:bidi="ar-SA"/>
    </w:rPr>
  </w:style>
  <w:style w:type="character" w:customStyle="1" w:styleId="407">
    <w:name w:val="ab4 Char"/>
    <w:link w:val="405"/>
    <w:uiPriority w:val="0"/>
    <w:rPr>
      <w:rFonts w:eastAsia="宋体"/>
      <w:bCs/>
      <w:snapToGrid w:val="0"/>
      <w:sz w:val="24"/>
      <w:szCs w:val="24"/>
      <w:lang w:val="en-US" w:eastAsia="zh-CN" w:bidi="ar-SA"/>
    </w:rPr>
  </w:style>
  <w:style w:type="character" w:customStyle="1" w:styleId="408">
    <w:name w:val="1.1 Char1"/>
    <w:qFormat/>
    <w:uiPriority w:val="0"/>
    <w:rPr>
      <w:rFonts w:ascii="Arial" w:hAnsi="Arial" w:eastAsia="黑体"/>
      <w:b/>
      <w:sz w:val="32"/>
      <w:lang w:val="en-US" w:eastAsia="zh-CN" w:bidi="ar-SA"/>
    </w:rPr>
  </w:style>
  <w:style w:type="paragraph" w:customStyle="1" w:styleId="409">
    <w:name w:val="A正文"/>
    <w:basedOn w:val="1"/>
    <w:qFormat/>
    <w:uiPriority w:val="0"/>
    <w:pPr>
      <w:widowControl/>
      <w:adjustRightInd w:val="0"/>
      <w:snapToGrid w:val="0"/>
      <w:spacing w:beforeLines="50" w:line="360" w:lineRule="auto"/>
      <w:jc w:val="left"/>
    </w:pPr>
    <w:rPr>
      <w:snapToGrid w:val="0"/>
      <w:kern w:val="0"/>
    </w:rPr>
  </w:style>
  <w:style w:type="character" w:customStyle="1" w:styleId="410">
    <w:name w:val="报告正文 Char"/>
    <w:uiPriority w:val="0"/>
    <w:rPr>
      <w:rFonts w:ascii="宋体" w:eastAsia="宋体"/>
      <w:snapToGrid w:val="0"/>
      <w:sz w:val="24"/>
      <w:szCs w:val="24"/>
      <w:lang w:val="en-US" w:eastAsia="zh-CN" w:bidi="ar-SA"/>
    </w:rPr>
  </w:style>
  <w:style w:type="paragraph" w:customStyle="1" w:styleId="411">
    <w:name w:val="内容"/>
    <w:basedOn w:val="1"/>
    <w:qFormat/>
    <w:uiPriority w:val="0"/>
    <w:pPr>
      <w:adjustRightInd w:val="0"/>
      <w:snapToGrid w:val="0"/>
      <w:spacing w:line="360" w:lineRule="auto"/>
      <w:ind w:firstLine="480"/>
      <w:jc w:val="left"/>
      <w:textAlignment w:val="baseline"/>
    </w:pPr>
    <w:rPr>
      <w:bCs/>
      <w:snapToGrid w:val="0"/>
      <w:kern w:val="0"/>
    </w:rPr>
  </w:style>
  <w:style w:type="character" w:customStyle="1" w:styleId="412">
    <w:name w:val="正文首行缩进 Char1"/>
    <w:link w:val="47"/>
    <w:qFormat/>
    <w:uiPriority w:val="0"/>
    <w:rPr>
      <w:rFonts w:eastAsia="华文行楷"/>
      <w:kern w:val="2"/>
      <w:sz w:val="21"/>
      <w:szCs w:val="24"/>
      <w:lang w:val="en-US" w:eastAsia="zh-CN" w:bidi="ar-SA"/>
    </w:rPr>
  </w:style>
  <w:style w:type="character" w:customStyle="1" w:styleId="413">
    <w:name w:val="标题 1 Char2"/>
    <w:link w:val="2"/>
    <w:uiPriority w:val="0"/>
    <w:rPr>
      <w:b/>
      <w:bCs/>
      <w:kern w:val="44"/>
      <w:position w:val="10"/>
      <w:sz w:val="28"/>
      <w:szCs w:val="44"/>
    </w:rPr>
  </w:style>
  <w:style w:type="character" w:customStyle="1" w:styleId="414">
    <w:name w:val="标题 3 Char"/>
    <w:link w:val="5"/>
    <w:qFormat/>
    <w:uiPriority w:val="0"/>
    <w:rPr>
      <w:rFonts w:eastAsia="黑体"/>
      <w:bCs/>
      <w:kern w:val="2"/>
      <w:position w:val="6"/>
      <w:sz w:val="24"/>
      <w:szCs w:val="32"/>
    </w:rPr>
  </w:style>
  <w:style w:type="character" w:customStyle="1" w:styleId="415">
    <w:name w:val="Char Char18"/>
    <w:qFormat/>
    <w:uiPriority w:val="0"/>
    <w:rPr>
      <w:rFonts w:ascii="Arial" w:hAnsi="Arial" w:eastAsia="黑体" w:cs="Times New Roman"/>
      <w:b/>
      <w:bCs/>
      <w:sz w:val="28"/>
      <w:szCs w:val="28"/>
    </w:rPr>
  </w:style>
  <w:style w:type="character" w:customStyle="1" w:styleId="416">
    <w:name w:val="标题 6 Char"/>
    <w:link w:val="8"/>
    <w:uiPriority w:val="0"/>
    <w:rPr>
      <w:rFonts w:ascii="Arial" w:hAnsi="Arial" w:eastAsia="黑体"/>
      <w:b/>
      <w:bCs/>
      <w:color w:val="000000"/>
      <w:kern w:val="2"/>
      <w:sz w:val="24"/>
      <w:szCs w:val="24"/>
      <w:lang w:val="en-US" w:eastAsia="zh-CN" w:bidi="ar-SA"/>
    </w:rPr>
  </w:style>
  <w:style w:type="character" w:customStyle="1" w:styleId="417">
    <w:name w:val="标题 7 Char"/>
    <w:link w:val="9"/>
    <w:qFormat/>
    <w:uiPriority w:val="0"/>
    <w:rPr>
      <w:rFonts w:eastAsia="宋体"/>
      <w:b/>
      <w:bCs/>
      <w:color w:val="000000"/>
      <w:kern w:val="2"/>
      <w:sz w:val="24"/>
      <w:szCs w:val="24"/>
      <w:lang w:val="en-US" w:eastAsia="zh-CN" w:bidi="ar-SA"/>
    </w:rPr>
  </w:style>
  <w:style w:type="character" w:customStyle="1" w:styleId="418">
    <w:name w:val="标题 8 Char1"/>
    <w:link w:val="10"/>
    <w:qFormat/>
    <w:uiPriority w:val="0"/>
    <w:rPr>
      <w:rFonts w:ascii="Arial" w:hAnsi="Arial" w:eastAsia="黑体"/>
      <w:color w:val="000000"/>
      <w:kern w:val="2"/>
      <w:sz w:val="24"/>
      <w:szCs w:val="24"/>
      <w:lang w:val="en-US" w:eastAsia="zh-CN" w:bidi="ar-SA"/>
    </w:rPr>
  </w:style>
  <w:style w:type="character" w:customStyle="1" w:styleId="419">
    <w:name w:val="页眉 Char"/>
    <w:link w:val="31"/>
    <w:qFormat/>
    <w:uiPriority w:val="99"/>
    <w:rPr>
      <w:rFonts w:ascii="宋体" w:hAnsi="宋体"/>
      <w:kern w:val="2"/>
      <w:sz w:val="18"/>
      <w:szCs w:val="18"/>
    </w:rPr>
  </w:style>
  <w:style w:type="character" w:customStyle="1" w:styleId="420">
    <w:name w:val="页脚 Char"/>
    <w:link w:val="30"/>
    <w:qFormat/>
    <w:uiPriority w:val="99"/>
    <w:rPr>
      <w:rFonts w:ascii="宋体" w:hAnsi="宋体" w:eastAsia="宋体"/>
      <w:kern w:val="2"/>
      <w:sz w:val="18"/>
      <w:szCs w:val="18"/>
      <w:lang w:val="en-US" w:eastAsia="zh-CN" w:bidi="ar-SA"/>
    </w:rPr>
  </w:style>
  <w:style w:type="character" w:customStyle="1" w:styleId="421">
    <w:name w:val="正文文本缩进 Char1"/>
    <w:link w:val="20"/>
    <w:qFormat/>
    <w:uiPriority w:val="0"/>
    <w:rPr>
      <w:rFonts w:ascii="宋体" w:hAnsi="宋体" w:eastAsia="宋体"/>
      <w:kern w:val="2"/>
      <w:sz w:val="24"/>
      <w:szCs w:val="24"/>
      <w:lang w:val="en-US" w:eastAsia="zh-CN" w:bidi="ar-SA"/>
    </w:rPr>
  </w:style>
  <w:style w:type="character" w:customStyle="1" w:styleId="422">
    <w:name w:val="正文文本缩进 2 Char"/>
    <w:link w:val="28"/>
    <w:qFormat/>
    <w:uiPriority w:val="0"/>
    <w:rPr>
      <w:rFonts w:ascii="宋体" w:hAnsi="宋体" w:eastAsia="宋体"/>
      <w:kern w:val="2"/>
      <w:sz w:val="24"/>
      <w:szCs w:val="24"/>
      <w:lang w:val="en-US" w:eastAsia="zh-CN" w:bidi="ar-SA"/>
    </w:rPr>
  </w:style>
  <w:style w:type="character" w:customStyle="1" w:styleId="423">
    <w:name w:val="正文文本缩进 3 Char"/>
    <w:link w:val="37"/>
    <w:qFormat/>
    <w:uiPriority w:val="0"/>
    <w:rPr>
      <w:rFonts w:ascii="宋体" w:hAnsi="宋体" w:eastAsia="宋体"/>
      <w:kern w:val="2"/>
      <w:sz w:val="24"/>
      <w:szCs w:val="24"/>
      <w:lang w:val="en-US" w:eastAsia="zh-CN" w:bidi="ar-SA"/>
    </w:rPr>
  </w:style>
  <w:style w:type="character" w:customStyle="1" w:styleId="424">
    <w:name w:val="文档结构图 Char"/>
    <w:link w:val="16"/>
    <w:semiHidden/>
    <w:qFormat/>
    <w:uiPriority w:val="0"/>
    <w:rPr>
      <w:rFonts w:ascii="宋体" w:hAnsi="宋体" w:eastAsia="宋体"/>
      <w:kern w:val="2"/>
      <w:sz w:val="28"/>
      <w:szCs w:val="24"/>
      <w:lang w:val="en-US" w:eastAsia="zh-CN" w:bidi="ar-SA"/>
    </w:rPr>
  </w:style>
  <w:style w:type="paragraph" w:customStyle="1" w:styleId="425">
    <w:name w:val="k9"/>
    <w:basedOn w:val="1"/>
    <w:qFormat/>
    <w:uiPriority w:val="0"/>
    <w:pPr>
      <w:widowControl/>
      <w:spacing w:before="100" w:beforeAutospacing="1" w:after="100" w:afterAutospacing="1" w:line="360" w:lineRule="auto"/>
      <w:jc w:val="left"/>
    </w:pPr>
    <w:rPr>
      <w:rFonts w:cs="宋体"/>
      <w:color w:val="006699"/>
      <w:kern w:val="0"/>
      <w:sz w:val="18"/>
      <w:szCs w:val="18"/>
    </w:rPr>
  </w:style>
  <w:style w:type="character" w:customStyle="1" w:styleId="426">
    <w:name w:val="日期 Char"/>
    <w:link w:val="27"/>
    <w:qFormat/>
    <w:uiPriority w:val="0"/>
    <w:rPr>
      <w:rFonts w:eastAsia="宋体"/>
      <w:kern w:val="2"/>
      <w:sz w:val="24"/>
      <w:lang w:val="en-US" w:eastAsia="zh-CN" w:bidi="ar-SA"/>
    </w:rPr>
  </w:style>
  <w:style w:type="character" w:customStyle="1" w:styleId="427">
    <w:name w:val="正文文本 Char"/>
    <w:link w:val="19"/>
    <w:qFormat/>
    <w:uiPriority w:val="0"/>
    <w:rPr>
      <w:rFonts w:ascii="宋体" w:hAnsi="宋体" w:eastAsia="宋体"/>
      <w:kern w:val="2"/>
      <w:sz w:val="28"/>
      <w:szCs w:val="24"/>
      <w:lang w:val="en-US" w:eastAsia="zh-CN" w:bidi="ar-SA"/>
    </w:rPr>
  </w:style>
  <w:style w:type="character" w:customStyle="1" w:styleId="428">
    <w:name w:val="正文文本 3 Char"/>
    <w:link w:val="18"/>
    <w:qFormat/>
    <w:uiPriority w:val="0"/>
    <w:rPr>
      <w:rFonts w:ascii="黑体" w:hAnsi="宋体" w:eastAsia="黑体"/>
      <w:b/>
      <w:bCs/>
      <w:kern w:val="2"/>
      <w:sz w:val="30"/>
      <w:szCs w:val="24"/>
      <w:lang w:val="en-US" w:eastAsia="zh-CN" w:bidi="ar-SA"/>
    </w:rPr>
  </w:style>
  <w:style w:type="character" w:customStyle="1" w:styleId="429">
    <w:name w:val="正文首行缩进 2 Char"/>
    <w:link w:val="48"/>
    <w:qFormat/>
    <w:uiPriority w:val="0"/>
    <w:rPr>
      <w:rFonts w:ascii="宋体" w:hAnsi="宋体" w:eastAsia="宋体"/>
      <w:kern w:val="2"/>
      <w:sz w:val="21"/>
      <w:szCs w:val="24"/>
      <w:lang w:val="en-US" w:eastAsia="zh-CN" w:bidi="ar-SA"/>
    </w:rPr>
  </w:style>
  <w:style w:type="character" w:customStyle="1" w:styleId="430">
    <w:name w:val="批注框文本 Char"/>
    <w:link w:val="29"/>
    <w:semiHidden/>
    <w:qFormat/>
    <w:uiPriority w:val="0"/>
    <w:rPr>
      <w:rFonts w:eastAsia="宋体"/>
      <w:kern w:val="2"/>
      <w:sz w:val="18"/>
      <w:szCs w:val="18"/>
      <w:lang w:val="en-US" w:eastAsia="zh-CN" w:bidi="ar-SA"/>
    </w:rPr>
  </w:style>
  <w:style w:type="paragraph" w:customStyle="1" w:styleId="431">
    <w:name w:val="正文sj"/>
    <w:basedOn w:val="1"/>
    <w:qFormat/>
    <w:uiPriority w:val="0"/>
    <w:pPr>
      <w:ind w:firstLine="567"/>
    </w:pPr>
    <w:rPr>
      <w:szCs w:val="20"/>
    </w:rPr>
  </w:style>
  <w:style w:type="character" w:customStyle="1" w:styleId="432">
    <w:name w:val="正文（首行缩进两字） Char Char Char Char Char Char Char Char Char Char Char Char Char Char Char Char Char Char Char Char Char"/>
    <w:qFormat/>
    <w:uiPriority w:val="0"/>
    <w:rPr>
      <w:rFonts w:ascii="宋体" w:hAnsi="宋体" w:eastAsia="宋体"/>
      <w:color w:val="000000"/>
      <w:kern w:val="2"/>
      <w:sz w:val="21"/>
      <w:lang w:val="en-US" w:eastAsia="zh-CN" w:bidi="ar-SA"/>
    </w:rPr>
  </w:style>
  <w:style w:type="paragraph" w:customStyle="1" w:styleId="433">
    <w:name w:val="Char21"/>
    <w:basedOn w:val="2"/>
    <w:next w:val="2"/>
    <w:qFormat/>
    <w:uiPriority w:val="0"/>
    <w:pPr>
      <w:tabs>
        <w:tab w:val="left" w:pos="700"/>
      </w:tabs>
      <w:adjustRightInd w:val="0"/>
      <w:snapToGrid w:val="0"/>
      <w:spacing w:line="360" w:lineRule="exact"/>
      <w:jc w:val="center"/>
      <w:outlineLvl w:val="9"/>
    </w:pPr>
    <w:rPr>
      <w:rFonts w:ascii="仿宋_GB2312" w:hAnsi="Verdana" w:eastAsia="仿宋_GB2312"/>
      <w:snapToGrid w:val="0"/>
      <w:kern w:val="0"/>
      <w:szCs w:val="28"/>
      <w:lang w:eastAsia="en-US"/>
    </w:rPr>
  </w:style>
  <w:style w:type="table" w:customStyle="1" w:styleId="434">
    <w:name w:val="浅色底纹1"/>
    <w:basedOn w:val="49"/>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435">
    <w:name w:val="浅色列表1"/>
    <w:basedOn w:val="49"/>
    <w:qFormat/>
    <w:uiPriority w:val="0"/>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436">
    <w:name w:val="正文文本 2 Char"/>
    <w:link w:val="41"/>
    <w:qFormat/>
    <w:uiPriority w:val="0"/>
    <w:rPr>
      <w:rFonts w:ascii="宋体" w:hAnsi="宋体" w:eastAsia="宋体"/>
      <w:kern w:val="2"/>
      <w:sz w:val="24"/>
      <w:szCs w:val="24"/>
      <w:lang w:val="en-US" w:eastAsia="zh-CN" w:bidi="ar-SA"/>
    </w:rPr>
  </w:style>
  <w:style w:type="paragraph" w:customStyle="1" w:styleId="437">
    <w:name w:val="A标题三"/>
    <w:basedOn w:val="1"/>
    <w:link w:val="438"/>
    <w:uiPriority w:val="0"/>
    <w:pPr>
      <w:widowControl/>
      <w:adjustRightInd w:val="0"/>
      <w:snapToGrid w:val="0"/>
      <w:spacing w:beforeLines="50" w:line="360" w:lineRule="auto"/>
      <w:jc w:val="left"/>
      <w:outlineLvl w:val="2"/>
    </w:pPr>
    <w:rPr>
      <w:kern w:val="0"/>
    </w:rPr>
  </w:style>
  <w:style w:type="character" w:customStyle="1" w:styleId="438">
    <w:name w:val="A标题三 Char"/>
    <w:link w:val="437"/>
    <w:qFormat/>
    <w:uiPriority w:val="0"/>
    <w:rPr>
      <w:rFonts w:ascii="宋体" w:eastAsia="宋体"/>
      <w:sz w:val="24"/>
      <w:szCs w:val="24"/>
      <w:lang w:val="en-US" w:eastAsia="zh-CN" w:bidi="ar-SA"/>
    </w:rPr>
  </w:style>
  <w:style w:type="paragraph" w:styleId="43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0">
    <w:name w:val="表头2"/>
    <w:basedOn w:val="1"/>
    <w:semiHidden/>
    <w:uiPriority w:val="0"/>
    <w:pPr>
      <w:tabs>
        <w:tab w:val="left" w:pos="284"/>
        <w:tab w:val="center" w:pos="6237"/>
      </w:tabs>
      <w:spacing w:before="240" w:after="240"/>
      <w:jc w:val="left"/>
    </w:pPr>
    <w:rPr>
      <w:rFonts w:ascii="黑体" w:eastAsia="黑体"/>
      <w:sz w:val="21"/>
    </w:rPr>
  </w:style>
  <w:style w:type="character" w:customStyle="1" w:styleId="441">
    <w:name w:val="批注文字 Char"/>
    <w:link w:val="17"/>
    <w:semiHidden/>
    <w:qFormat/>
    <w:uiPriority w:val="0"/>
    <w:rPr>
      <w:rFonts w:eastAsia="宋体"/>
      <w:kern w:val="2"/>
      <w:sz w:val="28"/>
      <w:lang w:val="en-US" w:eastAsia="zh-CN" w:bidi="ar-SA"/>
    </w:rPr>
  </w:style>
  <w:style w:type="paragraph" w:customStyle="1" w:styleId="442">
    <w:name w:val="正文2"/>
    <w:basedOn w:val="1"/>
    <w:link w:val="443"/>
    <w:qFormat/>
    <w:uiPriority w:val="0"/>
    <w:pPr>
      <w:spacing w:line="400" w:lineRule="exact"/>
      <w:ind w:firstLine="605" w:firstLineChars="250"/>
    </w:pPr>
    <w:rPr>
      <w:sz w:val="21"/>
    </w:rPr>
  </w:style>
  <w:style w:type="character" w:customStyle="1" w:styleId="443">
    <w:name w:val="正文 Char"/>
    <w:link w:val="442"/>
    <w:uiPriority w:val="0"/>
    <w:rPr>
      <w:rFonts w:eastAsia="宋体"/>
      <w:kern w:val="2"/>
      <w:sz w:val="21"/>
      <w:szCs w:val="24"/>
      <w:lang w:val="en-US" w:eastAsia="zh-CN" w:bidi="ar-SA"/>
    </w:rPr>
  </w:style>
  <w:style w:type="paragraph" w:customStyle="1" w:styleId="444">
    <w:name w:val="Char Char Char1 Char Char Char Char Char Char Char Char Char1 Char"/>
    <w:basedOn w:val="1"/>
    <w:qFormat/>
    <w:uiPriority w:val="0"/>
    <w:rPr>
      <w:sz w:val="21"/>
      <w:szCs w:val="20"/>
    </w:rPr>
  </w:style>
  <w:style w:type="character" w:customStyle="1" w:styleId="445">
    <w:name w:val="smj Char1"/>
    <w:link w:val="355"/>
    <w:qFormat/>
    <w:uiPriority w:val="0"/>
    <w:rPr>
      <w:rFonts w:eastAsia="黑体"/>
      <w:kern w:val="2"/>
      <w:sz w:val="28"/>
      <w:lang w:val="en-US" w:eastAsia="zh-CN" w:bidi="ar-SA"/>
    </w:rPr>
  </w:style>
  <w:style w:type="paragraph" w:customStyle="1" w:styleId="446">
    <w:name w:val="Char Char3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47">
    <w:name w:val="样式 宋体 小四 粉红 行距: 1.5 倍行距"/>
    <w:basedOn w:val="1"/>
    <w:qFormat/>
    <w:uiPriority w:val="0"/>
    <w:pPr>
      <w:spacing w:line="360" w:lineRule="auto"/>
      <w:ind w:firstLine="480"/>
    </w:pPr>
    <w:rPr>
      <w:rFonts w:cs="宋体"/>
      <w:color w:val="FF00FF"/>
      <w:szCs w:val="20"/>
    </w:rPr>
  </w:style>
  <w:style w:type="paragraph" w:customStyle="1" w:styleId="448">
    <w:name w:val="样式 宋体 居中 行距: 1.5 倍行距1"/>
    <w:basedOn w:val="1"/>
    <w:qFormat/>
    <w:uiPriority w:val="0"/>
    <w:pPr>
      <w:spacing w:line="360" w:lineRule="auto"/>
      <w:jc w:val="center"/>
    </w:pPr>
    <w:rPr>
      <w:rFonts w:cs="宋体"/>
      <w:sz w:val="21"/>
      <w:szCs w:val="20"/>
    </w:rPr>
  </w:style>
  <w:style w:type="character" w:customStyle="1" w:styleId="449">
    <w:name w:val="样式 宋体"/>
    <w:uiPriority w:val="0"/>
    <w:rPr>
      <w:rFonts w:ascii="Times New Roman" w:hAnsi="Times New Roman"/>
    </w:rPr>
  </w:style>
  <w:style w:type="character" w:customStyle="1" w:styleId="450">
    <w:name w:val="标题 1 Char Char"/>
    <w:qFormat/>
    <w:uiPriority w:val="0"/>
    <w:rPr>
      <w:rFonts w:eastAsia="黑体"/>
      <w:b/>
      <w:snapToGrid w:val="0"/>
      <w:kern w:val="21"/>
      <w:sz w:val="30"/>
      <w:lang w:val="en-US" w:eastAsia="zh-CN" w:bidi="ar-SA"/>
    </w:rPr>
  </w:style>
  <w:style w:type="character" w:customStyle="1" w:styleId="451">
    <w:name w:val="样式 样式 宋体 四号 黑色 行距: 1.5 倍行距 + 宋体 Char"/>
    <w:link w:val="452"/>
    <w:qFormat/>
    <w:uiPriority w:val="0"/>
    <w:rPr>
      <w:rFonts w:ascii="宋体" w:hAnsi="宋体"/>
      <w:color w:val="000000"/>
      <w:kern w:val="2"/>
      <w:sz w:val="24"/>
      <w:lang w:bidi="ar-SA"/>
    </w:rPr>
  </w:style>
  <w:style w:type="paragraph" w:customStyle="1" w:styleId="452">
    <w:name w:val="样式 样式 宋体 四号 黑色 行距: 1.5 倍行距 + 宋体"/>
    <w:basedOn w:val="453"/>
    <w:link w:val="451"/>
    <w:qFormat/>
    <w:uiPriority w:val="0"/>
    <w:rPr>
      <w:rFonts w:ascii="宋体" w:hAnsi="宋体"/>
    </w:rPr>
  </w:style>
  <w:style w:type="paragraph" w:customStyle="1" w:styleId="453">
    <w:name w:val="样式 宋体 四号 黑色 行距: 1.5 倍行距"/>
    <w:basedOn w:val="1"/>
    <w:link w:val="454"/>
    <w:qFormat/>
    <w:uiPriority w:val="0"/>
    <w:pPr>
      <w:spacing w:line="360" w:lineRule="auto"/>
      <w:ind w:firstLine="560"/>
    </w:pPr>
    <w:rPr>
      <w:color w:val="000000"/>
      <w:szCs w:val="20"/>
    </w:rPr>
  </w:style>
  <w:style w:type="character" w:customStyle="1" w:styleId="454">
    <w:name w:val="样式 宋体 四号 黑色 行距: 1.5 倍行距 Char"/>
    <w:link w:val="453"/>
    <w:qFormat/>
    <w:uiPriority w:val="0"/>
    <w:rPr>
      <w:color w:val="000000"/>
      <w:kern w:val="2"/>
      <w:sz w:val="28"/>
      <w:lang w:bidi="ar-SA"/>
    </w:rPr>
  </w:style>
  <w:style w:type="character" w:customStyle="1" w:styleId="455">
    <w:name w:val="样式 样式 宋体 四号 黑色 行距: 1.5 倍行距 + 宋体 红色 Char"/>
    <w:link w:val="456"/>
    <w:uiPriority w:val="0"/>
    <w:rPr>
      <w:rFonts w:ascii="宋体" w:hAnsi="宋体"/>
      <w:color w:val="FF0000"/>
      <w:kern w:val="2"/>
      <w:sz w:val="24"/>
      <w:lang w:bidi="ar-SA"/>
    </w:rPr>
  </w:style>
  <w:style w:type="paragraph" w:customStyle="1" w:styleId="456">
    <w:name w:val="样式 样式 宋体 四号 黑色 行距: 1.5 倍行距 + 宋体 红色"/>
    <w:basedOn w:val="453"/>
    <w:link w:val="455"/>
    <w:qFormat/>
    <w:uiPriority w:val="0"/>
    <w:rPr>
      <w:rFonts w:ascii="宋体" w:hAnsi="宋体"/>
      <w:color w:val="FF0000"/>
    </w:rPr>
  </w:style>
  <w:style w:type="character" w:customStyle="1" w:styleId="457">
    <w:name w:val="样式 宋体 四号 黑色"/>
    <w:qFormat/>
    <w:uiPriority w:val="0"/>
    <w:rPr>
      <w:rFonts w:ascii="宋体" w:hAnsi="宋体" w:eastAsia="宋体"/>
      <w:color w:val="000000"/>
      <w:sz w:val="24"/>
    </w:rPr>
  </w:style>
  <w:style w:type="paragraph" w:customStyle="1" w:styleId="458">
    <w:name w:val="样式 宋体 居中1"/>
    <w:basedOn w:val="1"/>
    <w:uiPriority w:val="0"/>
    <w:pPr>
      <w:jc w:val="center"/>
    </w:pPr>
    <w:rPr>
      <w:sz w:val="21"/>
      <w:szCs w:val="20"/>
    </w:rPr>
  </w:style>
  <w:style w:type="paragraph" w:customStyle="1" w:styleId="459">
    <w:name w:val="样式 样式 样式 宋体 四号 黑色 行距: 1.5 倍行距 + 宋体 + 首行缩进:  2 字符"/>
    <w:basedOn w:val="452"/>
    <w:qFormat/>
    <w:uiPriority w:val="0"/>
    <w:pPr>
      <w:ind w:firstLine="480"/>
    </w:pPr>
  </w:style>
  <w:style w:type="paragraph" w:customStyle="1" w:styleId="460">
    <w:name w:val="0"/>
    <w:basedOn w:val="1"/>
    <w:uiPriority w:val="0"/>
    <w:pPr>
      <w:widowControl/>
      <w:spacing w:before="100" w:beforeAutospacing="1" w:after="100" w:afterAutospacing="1"/>
      <w:jc w:val="left"/>
    </w:pPr>
    <w:rPr>
      <w:kern w:val="0"/>
      <w:szCs w:val="20"/>
    </w:rPr>
  </w:style>
  <w:style w:type="character" w:customStyle="1" w:styleId="461">
    <w:name w:val="style21"/>
    <w:qFormat/>
    <w:uiPriority w:val="0"/>
    <w:rPr>
      <w:sz w:val="40"/>
      <w:szCs w:val="40"/>
    </w:rPr>
  </w:style>
  <w:style w:type="paragraph" w:customStyle="1" w:styleId="462">
    <w:name w:val="样式 段前: 6 磅"/>
    <w:basedOn w:val="1"/>
    <w:qFormat/>
    <w:uiPriority w:val="0"/>
    <w:pPr>
      <w:snapToGrid w:val="0"/>
      <w:textAlignment w:val="center"/>
    </w:pPr>
    <w:rPr>
      <w:rFonts w:eastAsia="黑体" w:cs="宋体"/>
      <w:szCs w:val="20"/>
    </w:rPr>
  </w:style>
  <w:style w:type="paragraph" w:customStyle="1" w:styleId="463">
    <w:name w:val="条文"/>
    <w:basedOn w:val="1"/>
    <w:uiPriority w:val="0"/>
    <w:pPr>
      <w:tabs>
        <w:tab w:val="left" w:pos="360"/>
        <w:tab w:val="left" w:pos="1287"/>
      </w:tabs>
      <w:adjustRightInd w:val="0"/>
      <w:spacing w:line="313" w:lineRule="exact"/>
      <w:ind w:firstLine="425"/>
    </w:pPr>
    <w:rPr>
      <w:sz w:val="21"/>
      <w:szCs w:val="20"/>
    </w:rPr>
  </w:style>
  <w:style w:type="character" w:customStyle="1" w:styleId="464">
    <w:name w:val="Char Char181"/>
    <w:qFormat/>
    <w:locked/>
    <w:uiPriority w:val="0"/>
    <w:rPr>
      <w:rFonts w:ascii="Arial" w:hAnsi="Arial" w:eastAsia="黑体"/>
      <w:b/>
      <w:bCs/>
      <w:kern w:val="2"/>
      <w:sz w:val="28"/>
      <w:szCs w:val="28"/>
      <w:lang w:val="en-US" w:eastAsia="zh-CN" w:bidi="ar-SA"/>
    </w:rPr>
  </w:style>
  <w:style w:type="character" w:customStyle="1" w:styleId="465">
    <w:name w:val="Char Char17"/>
    <w:qFormat/>
    <w:locked/>
    <w:uiPriority w:val="0"/>
    <w:rPr>
      <w:rFonts w:ascii="Cambria" w:hAnsi="Cambria" w:eastAsia="宋体"/>
      <w:b/>
      <w:bCs/>
      <w:kern w:val="2"/>
      <w:sz w:val="24"/>
      <w:szCs w:val="24"/>
      <w:lang w:val="en-US" w:eastAsia="zh-CN" w:bidi="ar-SA"/>
    </w:rPr>
  </w:style>
  <w:style w:type="character" w:customStyle="1" w:styleId="466">
    <w:name w:val="Char Char16"/>
    <w:locked/>
    <w:uiPriority w:val="0"/>
    <w:rPr>
      <w:rFonts w:eastAsia="宋体"/>
      <w:b/>
      <w:kern w:val="2"/>
      <w:sz w:val="24"/>
      <w:lang w:val="en-US" w:eastAsia="zh-CN" w:bidi="ar-SA"/>
    </w:rPr>
  </w:style>
  <w:style w:type="character" w:customStyle="1" w:styleId="467">
    <w:name w:val="Char Char15"/>
    <w:qFormat/>
    <w:locked/>
    <w:uiPriority w:val="0"/>
    <w:rPr>
      <w:rFonts w:ascii="Arial" w:hAnsi="Arial" w:eastAsia="黑体"/>
      <w:kern w:val="2"/>
      <w:sz w:val="24"/>
      <w:lang w:val="en-US" w:eastAsia="zh-CN" w:bidi="ar-SA"/>
    </w:rPr>
  </w:style>
  <w:style w:type="character" w:customStyle="1" w:styleId="468">
    <w:name w:val="Char Char13"/>
    <w:qFormat/>
    <w:locked/>
    <w:uiPriority w:val="0"/>
    <w:rPr>
      <w:rFonts w:ascii="宋体" w:hAnsi="宋体" w:eastAsia="宋体"/>
      <w:kern w:val="2"/>
      <w:sz w:val="18"/>
      <w:szCs w:val="18"/>
      <w:lang w:val="en-US" w:eastAsia="zh-CN" w:bidi="ar-SA"/>
    </w:rPr>
  </w:style>
  <w:style w:type="character" w:customStyle="1" w:styleId="469">
    <w:name w:val="Char Char7"/>
    <w:locked/>
    <w:uiPriority w:val="0"/>
    <w:rPr>
      <w:rFonts w:ascii="宋体" w:hAnsi="宋体" w:eastAsia="宋体"/>
      <w:kern w:val="2"/>
      <w:sz w:val="21"/>
      <w:szCs w:val="24"/>
      <w:lang w:val="en-US" w:eastAsia="zh-CN" w:bidi="ar-SA"/>
    </w:rPr>
  </w:style>
  <w:style w:type="character" w:customStyle="1" w:styleId="470">
    <w:name w:val="Char Char12"/>
    <w:qFormat/>
    <w:locked/>
    <w:uiPriority w:val="0"/>
    <w:rPr>
      <w:rFonts w:ascii="宋体" w:hAnsi="宋体" w:eastAsia="宋体"/>
      <w:kern w:val="2"/>
      <w:sz w:val="24"/>
      <w:szCs w:val="24"/>
      <w:lang w:val="en-US" w:eastAsia="zh-CN" w:bidi="ar-SA"/>
    </w:rPr>
  </w:style>
  <w:style w:type="character" w:customStyle="1" w:styleId="471">
    <w:name w:val="Char Char8"/>
    <w:qFormat/>
    <w:locked/>
    <w:uiPriority w:val="0"/>
    <w:rPr>
      <w:rFonts w:ascii="黑体" w:eastAsia="黑体"/>
      <w:spacing w:val="20"/>
      <w:kern w:val="2"/>
      <w:sz w:val="36"/>
      <w:lang w:val="en-US" w:eastAsia="zh-CN" w:bidi="ar-SA"/>
    </w:rPr>
  </w:style>
  <w:style w:type="character" w:customStyle="1" w:styleId="472">
    <w:name w:val="Char Char5"/>
    <w:locked/>
    <w:uiPriority w:val="0"/>
    <w:rPr>
      <w:rFonts w:ascii="宋体" w:hAnsi="宋体" w:eastAsia="宋体"/>
      <w:kern w:val="2"/>
      <w:sz w:val="21"/>
      <w:szCs w:val="24"/>
      <w:lang w:val="en-US" w:eastAsia="zh-CN" w:bidi="ar-SA"/>
    </w:rPr>
  </w:style>
  <w:style w:type="character" w:customStyle="1" w:styleId="473">
    <w:name w:val="Char Char3"/>
    <w:qFormat/>
    <w:locked/>
    <w:uiPriority w:val="0"/>
    <w:rPr>
      <w:rFonts w:ascii="宋体" w:hAnsi="宋体" w:eastAsia="宋体"/>
      <w:kern w:val="2"/>
      <w:sz w:val="21"/>
      <w:szCs w:val="24"/>
      <w:lang w:val="en-US" w:eastAsia="zh-CN" w:bidi="ar-SA"/>
    </w:rPr>
  </w:style>
  <w:style w:type="character" w:customStyle="1" w:styleId="474">
    <w:name w:val="Char Char6"/>
    <w:qFormat/>
    <w:locked/>
    <w:uiPriority w:val="0"/>
    <w:rPr>
      <w:rFonts w:ascii="宋体" w:hAnsi="宋体" w:eastAsia="宋体"/>
      <w:kern w:val="2"/>
      <w:sz w:val="16"/>
      <w:szCs w:val="16"/>
      <w:lang w:val="en-US" w:eastAsia="zh-CN" w:bidi="ar-SA"/>
    </w:rPr>
  </w:style>
  <w:style w:type="character" w:customStyle="1" w:styleId="475">
    <w:name w:val="Char Char11"/>
    <w:locked/>
    <w:uiPriority w:val="0"/>
    <w:rPr>
      <w:rFonts w:ascii="宋体" w:hAnsi="宋体" w:eastAsia="宋体"/>
      <w:kern w:val="2"/>
      <w:sz w:val="24"/>
      <w:szCs w:val="24"/>
      <w:lang w:val="en-US" w:eastAsia="zh-CN" w:bidi="ar-SA"/>
    </w:rPr>
  </w:style>
  <w:style w:type="character" w:customStyle="1" w:styleId="476">
    <w:name w:val="Char Char10"/>
    <w:qFormat/>
    <w:locked/>
    <w:uiPriority w:val="0"/>
    <w:rPr>
      <w:rFonts w:ascii="宋体" w:hAnsi="宋体" w:eastAsia="宋体"/>
      <w:color w:val="000000"/>
      <w:kern w:val="2"/>
      <w:sz w:val="24"/>
      <w:szCs w:val="24"/>
      <w:lang w:val="en-US" w:eastAsia="zh-CN" w:bidi="ar-SA"/>
    </w:rPr>
  </w:style>
  <w:style w:type="paragraph" w:customStyle="1" w:styleId="477">
    <w:name w:val="Char Char Char2"/>
    <w:basedOn w:val="1"/>
    <w:qFormat/>
    <w:uiPriority w:val="0"/>
    <w:rPr>
      <w:rFonts w:ascii="Tahoma" w:hAnsi="Tahoma"/>
      <w:szCs w:val="20"/>
    </w:rPr>
  </w:style>
  <w:style w:type="paragraph" w:customStyle="1" w:styleId="478">
    <w:name w:val="Char Char Char1 Char Char Char Char Char Char Char Char Char1 Char1"/>
    <w:basedOn w:val="1"/>
    <w:uiPriority w:val="0"/>
    <w:rPr>
      <w:sz w:val="21"/>
      <w:szCs w:val="20"/>
    </w:rPr>
  </w:style>
  <w:style w:type="paragraph" w:customStyle="1" w:styleId="479">
    <w:name w:val="Char Char3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80">
    <w:name w:val="Char41"/>
    <w:basedOn w:val="1"/>
    <w:qFormat/>
    <w:uiPriority w:val="0"/>
    <w:rPr>
      <w:rFonts w:ascii="Tahoma" w:hAnsi="Tahoma"/>
      <w:szCs w:val="20"/>
    </w:rPr>
  </w:style>
  <w:style w:type="paragraph" w:customStyle="1" w:styleId="481">
    <w:name w:val="Char31"/>
    <w:basedOn w:val="1"/>
    <w:uiPriority w:val="0"/>
    <w:pPr>
      <w:adjustRightInd w:val="0"/>
      <w:spacing w:line="360" w:lineRule="auto"/>
    </w:pPr>
    <w:rPr>
      <w:kern w:val="0"/>
    </w:rPr>
  </w:style>
  <w:style w:type="paragraph" w:customStyle="1" w:styleId="482">
    <w:name w:val="正文样式 宋体 四号"/>
    <w:basedOn w:val="1"/>
    <w:qFormat/>
    <w:uiPriority w:val="0"/>
    <w:pPr>
      <w:adjustRightInd w:val="0"/>
      <w:snapToGrid w:val="0"/>
      <w:spacing w:line="324" w:lineRule="auto"/>
      <w:ind w:firstLine="560"/>
    </w:pPr>
    <w:rPr>
      <w:rFonts w:cs="宋体"/>
      <w:bCs/>
      <w:szCs w:val="20"/>
    </w:rPr>
  </w:style>
  <w:style w:type="paragraph" w:customStyle="1" w:styleId="483">
    <w:name w:val="Char Char Char1 Char"/>
    <w:basedOn w:val="1"/>
    <w:qFormat/>
    <w:uiPriority w:val="0"/>
    <w:pPr>
      <w:spacing w:line="360" w:lineRule="auto"/>
    </w:pPr>
    <w:rPr>
      <w:rFonts w:cs="宋体"/>
    </w:rPr>
  </w:style>
  <w:style w:type="paragraph" w:customStyle="1" w:styleId="484">
    <w:name w:val="Char Char Char Char Char Char Char Char Char Char Char Char Char1"/>
    <w:basedOn w:val="1"/>
    <w:uiPriority w:val="0"/>
    <w:pPr>
      <w:spacing w:line="360" w:lineRule="auto"/>
    </w:pPr>
    <w:rPr>
      <w:rFonts w:cs="宋体"/>
    </w:rPr>
  </w:style>
  <w:style w:type="paragraph" w:customStyle="1" w:styleId="485">
    <w:name w:val="Char Char Char2 Char Char Char Char Char Char2 Char Char Char Char Char Char Char"/>
    <w:basedOn w:val="1"/>
    <w:qFormat/>
    <w:uiPriority w:val="0"/>
    <w:pPr>
      <w:spacing w:line="360" w:lineRule="auto"/>
    </w:pPr>
    <w:rPr>
      <w:rFonts w:cs="宋体"/>
    </w:rPr>
  </w:style>
  <w:style w:type="character" w:customStyle="1" w:styleId="486">
    <w:name w:val="apple-style-span"/>
    <w:basedOn w:val="55"/>
    <w:qFormat/>
    <w:uiPriority w:val="0"/>
  </w:style>
  <w:style w:type="character" w:customStyle="1" w:styleId="487">
    <w:name w:val="apple-converted-space"/>
    <w:basedOn w:val="55"/>
    <w:uiPriority w:val="0"/>
  </w:style>
  <w:style w:type="paragraph" w:customStyle="1" w:styleId="488">
    <w:name w:val="Char Char Char Char Char Char Char Char Char Char Char Char4 Char Char Char Char Char Char Char"/>
    <w:basedOn w:val="1"/>
    <w:qFormat/>
    <w:uiPriority w:val="0"/>
    <w:pPr>
      <w:spacing w:line="360" w:lineRule="auto"/>
    </w:pPr>
    <w:rPr>
      <w:sz w:val="21"/>
      <w:szCs w:val="20"/>
    </w:rPr>
  </w:style>
  <w:style w:type="character" w:customStyle="1" w:styleId="489">
    <w:name w:val="正文文字( 首段缩进两字） Char"/>
    <w:qFormat/>
    <w:uiPriority w:val="0"/>
    <w:rPr>
      <w:rFonts w:ascii="宋体" w:hAnsi="宋体" w:eastAsia="宋体"/>
      <w:spacing w:val="6"/>
      <w:kern w:val="2"/>
      <w:sz w:val="28"/>
      <w:lang w:val="en-US" w:eastAsia="zh-CN" w:bidi="ar-SA"/>
    </w:rPr>
  </w:style>
  <w:style w:type="paragraph" w:customStyle="1" w:styleId="490">
    <w:name w:val="普通 (Web)"/>
    <w:basedOn w:val="1"/>
    <w:uiPriority w:val="0"/>
  </w:style>
  <w:style w:type="paragraph" w:customStyle="1" w:styleId="491">
    <w:name w:val="Char Char Char3 Char"/>
    <w:basedOn w:val="1"/>
    <w:qFormat/>
    <w:uiPriority w:val="0"/>
    <w:pPr>
      <w:spacing w:line="360" w:lineRule="auto"/>
    </w:pPr>
    <w:rPr>
      <w:rFonts w:cs="宋体"/>
    </w:rPr>
  </w:style>
  <w:style w:type="paragraph" w:customStyle="1" w:styleId="492">
    <w:name w:val="Char Char Char Char Char Char Char Char Char Char Char Char Char Char Char Char Char Char Char Char Char1"/>
    <w:basedOn w:val="1"/>
    <w:qFormat/>
    <w:uiPriority w:val="0"/>
    <w:rPr>
      <w:sz w:val="21"/>
    </w:rPr>
  </w:style>
  <w:style w:type="paragraph" w:customStyle="1" w:styleId="493">
    <w:name w:val="Char1 Char Char Char"/>
    <w:basedOn w:val="1"/>
    <w:uiPriority w:val="0"/>
    <w:pPr>
      <w:snapToGrid w:val="0"/>
      <w:spacing w:line="360" w:lineRule="auto"/>
      <w:ind w:firstLine="529"/>
    </w:pPr>
    <w:rPr>
      <w:b/>
      <w:sz w:val="21"/>
    </w:rPr>
  </w:style>
  <w:style w:type="paragraph" w:customStyle="1" w:styleId="494">
    <w:name w:val="Char Char5 Char Char Char Char Char Char Char"/>
    <w:basedOn w:val="1"/>
    <w:next w:val="1"/>
    <w:qFormat/>
    <w:uiPriority w:val="0"/>
    <w:pPr>
      <w:spacing w:line="360" w:lineRule="auto"/>
    </w:pPr>
    <w:rPr>
      <w:rFonts w:cs="宋体"/>
    </w:rPr>
  </w:style>
  <w:style w:type="paragraph" w:customStyle="1" w:styleId="495">
    <w:name w:val="我的目录"/>
    <w:basedOn w:val="1"/>
    <w:qFormat/>
    <w:uiPriority w:val="0"/>
    <w:pPr>
      <w:tabs>
        <w:tab w:val="right" w:leader="middleDot" w:pos="9800"/>
      </w:tabs>
    </w:pPr>
    <w:rPr>
      <w:rFonts w:ascii="楷体_GB2312" w:eastAsia="楷体_GB2312"/>
    </w:rPr>
  </w:style>
  <w:style w:type="paragraph" w:customStyle="1" w:styleId="496">
    <w:name w:val="_Style 4"/>
    <w:basedOn w:val="1"/>
    <w:uiPriority w:val="0"/>
    <w:pPr>
      <w:snapToGrid w:val="0"/>
      <w:spacing w:line="360" w:lineRule="auto"/>
      <w:ind w:firstLine="529"/>
    </w:pPr>
    <w:rPr>
      <w:sz w:val="21"/>
    </w:rPr>
  </w:style>
  <w:style w:type="paragraph" w:customStyle="1" w:styleId="497">
    <w:name w:val="样式 (中文) 华文中宋 (符号) 华文中宋 行距: 1.5 倍行距 首行缩进:  2 字符"/>
    <w:basedOn w:val="1"/>
    <w:qFormat/>
    <w:uiPriority w:val="0"/>
    <w:pPr>
      <w:adjustRightInd w:val="0"/>
      <w:snapToGrid w:val="0"/>
      <w:spacing w:beforeLines="25" w:afterLines="25" w:line="360" w:lineRule="auto"/>
    </w:pPr>
    <w:rPr>
      <w:rFonts w:ascii="Arial" w:hAnsi="Arial" w:eastAsia="仿宋_GB2312" w:cs="宋体"/>
      <w:szCs w:val="28"/>
    </w:rPr>
  </w:style>
  <w:style w:type="character" w:customStyle="1" w:styleId="498">
    <w:name w:val="正文 + 宋体 Char"/>
    <w:link w:val="208"/>
    <w:qFormat/>
    <w:uiPriority w:val="0"/>
    <w:rPr>
      <w:kern w:val="2"/>
      <w:sz w:val="28"/>
      <w:szCs w:val="28"/>
    </w:rPr>
  </w:style>
  <w:style w:type="paragraph" w:customStyle="1" w:styleId="499">
    <w:name w:val="标准 Char"/>
    <w:basedOn w:val="1"/>
    <w:link w:val="500"/>
    <w:uiPriority w:val="0"/>
    <w:pPr>
      <w:autoSpaceDE w:val="0"/>
      <w:autoSpaceDN w:val="0"/>
      <w:adjustRightInd w:val="0"/>
      <w:spacing w:line="480" w:lineRule="exact"/>
      <w:ind w:firstLine="560"/>
      <w:textAlignment w:val="baseline"/>
    </w:pPr>
    <w:rPr>
      <w:kern w:val="28"/>
      <w:szCs w:val="21"/>
    </w:rPr>
  </w:style>
  <w:style w:type="character" w:customStyle="1" w:styleId="500">
    <w:name w:val="标准 Char Char"/>
    <w:link w:val="499"/>
    <w:qFormat/>
    <w:uiPriority w:val="0"/>
    <w:rPr>
      <w:kern w:val="28"/>
      <w:sz w:val="28"/>
      <w:szCs w:val="21"/>
    </w:rPr>
  </w:style>
  <w:style w:type="paragraph" w:customStyle="1" w:styleId="501">
    <w:name w:val="reader-word-layer"/>
    <w:basedOn w:val="1"/>
    <w:qFormat/>
    <w:uiPriority w:val="0"/>
    <w:pPr>
      <w:widowControl/>
      <w:spacing w:before="100" w:beforeAutospacing="1" w:after="100" w:afterAutospacing="1"/>
      <w:jc w:val="left"/>
    </w:pPr>
    <w:rPr>
      <w:rFonts w:cs="宋体"/>
      <w:kern w:val="0"/>
    </w:rPr>
  </w:style>
  <w:style w:type="character" w:customStyle="1" w:styleId="502">
    <w:name w:val="表格1 Char"/>
    <w:link w:val="153"/>
    <w:uiPriority w:val="0"/>
    <w:rPr>
      <w:kern w:val="2"/>
      <w:sz w:val="21"/>
      <w:szCs w:val="21"/>
    </w:rPr>
  </w:style>
  <w:style w:type="paragraph" w:customStyle="1" w:styleId="503">
    <w:name w:val="样式 仿宋_GB2312 四号 首行缩进:  2.24 字符"/>
    <w:basedOn w:val="1"/>
    <w:qFormat/>
    <w:uiPriority w:val="0"/>
    <w:rPr>
      <w:rFonts w:ascii="仿宋_GB2312" w:eastAsia="仿宋_GB2312" w:cs="宋体"/>
      <w:szCs w:val="20"/>
    </w:rPr>
  </w:style>
  <w:style w:type="paragraph" w:customStyle="1" w:styleId="504">
    <w:name w:val="报告表正文"/>
    <w:basedOn w:val="1"/>
    <w:qFormat/>
    <w:uiPriority w:val="0"/>
    <w:pPr>
      <w:adjustRightInd w:val="0"/>
      <w:spacing w:line="312" w:lineRule="auto"/>
      <w:ind w:left="113" w:right="113" w:firstLine="482"/>
      <w:jc w:val="left"/>
      <w:textAlignment w:val="baseline"/>
    </w:pPr>
    <w:rPr>
      <w:kern w:val="0"/>
      <w:szCs w:val="20"/>
    </w:rPr>
  </w:style>
  <w:style w:type="paragraph" w:customStyle="1" w:styleId="505">
    <w:name w:val="Char Char Char Char Char Char Char Char Char Char Char Char4 Char Char Char Char Char Char Char1"/>
    <w:basedOn w:val="1"/>
    <w:qFormat/>
    <w:uiPriority w:val="0"/>
    <w:pPr>
      <w:spacing w:line="360" w:lineRule="auto"/>
    </w:pPr>
    <w:rPr>
      <w:sz w:val="21"/>
      <w:szCs w:val="20"/>
    </w:rPr>
  </w:style>
  <w:style w:type="paragraph" w:customStyle="1" w:styleId="506">
    <w:name w:val="c正文"/>
    <w:qFormat/>
    <w:uiPriority w:val="0"/>
    <w:pPr>
      <w:adjustRightInd w:val="0"/>
      <w:snapToGrid w:val="0"/>
      <w:spacing w:line="500" w:lineRule="exact"/>
      <w:ind w:firstLine="200" w:firstLineChars="200"/>
    </w:pPr>
    <w:rPr>
      <w:rFonts w:ascii="Times New Roman" w:hAnsi="Times New Roman" w:eastAsia="宋体" w:cs="Arial"/>
      <w:bCs/>
      <w:color w:val="000000"/>
      <w:kern w:val="44"/>
      <w:sz w:val="24"/>
      <w:szCs w:val="24"/>
      <w:lang w:val="en-US" w:eastAsia="zh-CN" w:bidi="ar-SA"/>
    </w:rPr>
  </w:style>
  <w:style w:type="paragraph" w:styleId="507">
    <w:name w:val="List Paragraph"/>
    <w:basedOn w:val="1"/>
    <w:qFormat/>
    <w:uiPriority w:val="34"/>
    <w:pPr>
      <w:ind w:firstLine="420"/>
    </w:pPr>
  </w:style>
  <w:style w:type="character" w:customStyle="1" w:styleId="508">
    <w:name w:val="表格文字 Char Char"/>
    <w:basedOn w:val="55"/>
    <w:qFormat/>
    <w:uiPriority w:val="0"/>
    <w:rPr>
      <w:rFonts w:ascii="宋体" w:hAnsi="宋体" w:eastAsia="宋体"/>
      <w:b/>
      <w:kern w:val="2"/>
      <w:sz w:val="21"/>
      <w:szCs w:val="21"/>
      <w:lang w:val="en-US" w:eastAsia="zh-CN" w:bidi="ar-SA"/>
    </w:rPr>
  </w:style>
  <w:style w:type="character" w:customStyle="1" w:styleId="509">
    <w:name w:val="font41"/>
    <w:qFormat/>
    <w:uiPriority w:val="0"/>
    <w:rPr>
      <w:rFonts w:hint="eastAsia" w:ascii="宋体" w:hAnsi="宋体" w:eastAsia="宋体" w:cs="宋体"/>
      <w:color w:val="000000"/>
      <w:sz w:val="21"/>
      <w:szCs w:val="21"/>
      <w:u w:val="none"/>
    </w:rPr>
  </w:style>
  <w:style w:type="character" w:customStyle="1" w:styleId="510">
    <w:name w:val="font31"/>
    <w:qFormat/>
    <w:uiPriority w:val="0"/>
    <w:rPr>
      <w:rFonts w:hint="default" w:ascii="Times New Roman" w:hAnsi="Times New Roman" w:cs="Times New Roman"/>
      <w:color w:val="000000"/>
      <w:sz w:val="21"/>
      <w:szCs w:val="21"/>
      <w:u w:val="none"/>
    </w:rPr>
  </w:style>
  <w:style w:type="paragraph" w:customStyle="1" w:styleId="511">
    <w:name w:val="Char Char Char Char2"/>
    <w:basedOn w:val="1"/>
    <w:qFormat/>
    <w:uiPriority w:val="0"/>
    <w:pPr>
      <w:snapToGrid w:val="0"/>
      <w:spacing w:line="360" w:lineRule="auto"/>
      <w:ind w:firstLine="529"/>
    </w:pPr>
    <w:rPr>
      <w:rFonts w:ascii="宋体" w:hAnsi="宋体"/>
      <w:b/>
      <w:position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115"/>
    <customShpInfo spid="_x0000_s1105"/>
    <customShpInfo spid="_x0000_s1113"/>
    <customShpInfo spid="_x0000_s1100"/>
    <customShpInfo spid="_x0000_s1101"/>
    <customShpInfo spid="_x0000_s1116"/>
    <customShpInfo spid="_x0000_s1117"/>
    <customShpInfo spid="_x0000_s1106"/>
    <customShpInfo spid="_x0000_s1102"/>
    <customShpInfo spid="_x0000_s1118"/>
    <customShpInfo spid="_x0000_s1119"/>
    <customShpInfo spid="_x0000_s1103"/>
    <customShpInfo spid="_x0000_s1107"/>
    <customShpInfo spid="_x0000_s1098"/>
    <customShpInfo spid="_x0000_s1108"/>
    <customShpInfo spid="_x0000_s1121"/>
    <customShpInfo spid="_x0000_s1099"/>
    <customShpInfo spid="_x0000_s1120"/>
    <customShpInfo spid="_x0000_s1104"/>
    <customShpInfo spid="_x0000_s1123"/>
    <customShpInfo spid="_x0000_s1122"/>
    <customShpInfo spid="_x0000_s1109"/>
    <customShpInfo spid="_x0000_s1110"/>
    <customShpInfo spid="_x0000_s1125"/>
    <customShpInfo spid="_x0000_s1112"/>
    <customShpInfo spid="_x0000_s1124"/>
    <customShpInfo spid="_x0000_s1111"/>
    <customShpInfo spid="_x0000_s1058"/>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59"/>
    <customShpInfo spid="_x0000_s1057"/>
    <customShpInfo spid="_x0000_s1075"/>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76"/>
    <customShpInfo spid="_x0000_s1074"/>
    <customShpInfo spid="_x0000_s1128"/>
    <customShpInfo spid="_x0000_s1092"/>
    <customShpInfo spid="_x0000_s1126"/>
    <customShpInfo spid="_x0000_s1093"/>
    <customShpInfo spid="_x0000_s1094"/>
    <customShpInfo spid="_x0000_s1095"/>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4C36A-6E84-42D3-AAB6-B782116E6D23}">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37</Pages>
  <Words>3407</Words>
  <Characters>19421</Characters>
  <Lines>161</Lines>
  <Paragraphs>45</Paragraphs>
  <TotalTime>8059</TotalTime>
  <ScaleCrop>false</ScaleCrop>
  <LinksUpToDate>false</LinksUpToDate>
  <CharactersWithSpaces>22783</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2016-06-14T01:06:00Z</dcterms:created>
  <dc:creator>zjj</dc:creator>
  <cp:lastModifiedBy>夏、微凉ゝ</cp:lastModifiedBy>
  <cp:lastPrinted>2016-03-25T02:31:00Z</cp:lastPrinted>
  <dcterms:modified xsi:type="dcterms:W3CDTF">2022-04-29T08:02:46Z</dcterms:modified>
  <dc:title>建设项目环境影响报告表</dc:title>
  <cp:revision>4596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76A0C960118E4CEC9D24DEF92E1B374E</vt:lpwstr>
  </property>
</Properties>
</file>