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9"/>
          <w:szCs w:val="39"/>
          <w:lang w:val="en-US" w:eastAsia="zh-CN" w:bidi="ar"/>
        </w:rPr>
        <w:t>五台山风景名胜区建筑垃圾综合利用项目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9"/>
          <w:szCs w:val="39"/>
          <w:lang w:val="en-US" w:eastAsia="zh-CN" w:bidi="ar"/>
        </w:rPr>
        <w:t>选址公示牌</w:t>
      </w:r>
    </w:p>
    <w:p>
      <w:r>
        <w:drawing>
          <wp:inline distT="0" distB="0" distL="114300" distR="114300">
            <wp:extent cx="5664200" cy="473138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项目名称：五台山风景名胜区建筑垃圾综合利用项目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建设单位：五台山风景名胜区规划国土建设局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建设规模：位于石咀镇炭窑坪村附近的黄林沟，沟外部为资源化利用生态工厂面积为1.61公顷（24.15亩），沟里为填埋区面积为1.7281公顷（25.92亩）。确定建筑垃圾资源化生态工厂设计规模为25万t/a，工程渣土外运填埋量为15万t/a（密度按1.5t/m3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计）。总体资源化利用率约为62%。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公示时间：2023年12月1日-2023年12月8日。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6BE7D5-3D4D-43DF-A36C-B6A321EC60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6084C49-D6E7-4646-8AC9-AAFE34662C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OGViMmMzZGM4MzlmMzI2NGRlYzc1ZmRhOGQzZDYifQ=="/>
  </w:docVars>
  <w:rsids>
    <w:rsidRoot w:val="3BF963B6"/>
    <w:rsid w:val="3BF963B6"/>
    <w:rsid w:val="5ED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2023-12-06T06:41:00Z</dcterms:created>
  <dc:creator>小玩样儿</dc:creator>
  <cp:lastModifiedBy>小玩样儿</cp:lastModifiedBy>
  <dcterms:modified xsi:type="dcterms:W3CDTF">2023-12-06T06:47:01Z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8B3659E9CF774283BD12D22DBF13E466_11</vt:lpwstr>
  </property>
</Properties>
</file>