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AAD1F1">
      <w:pPr>
        <w:jc w:val="center"/>
        <w:rPr>
          <w:rFonts w:hint="eastAsia" w:ascii="仿宋" w:hAnsi="仿宋" w:eastAsia="仿宋" w:cs="仿宋"/>
          <w:sz w:val="32"/>
          <w:szCs w:val="32"/>
          <w:lang w:val="en-US" w:eastAsia="zh-CN"/>
        </w:rPr>
      </w:pPr>
      <w:r>
        <w:rPr>
          <w:rFonts w:hint="eastAsia" w:ascii="仿宋" w:hAnsi="仿宋" w:eastAsia="仿宋" w:cs="仿宋"/>
          <w:b/>
          <w:bCs/>
          <w:sz w:val="44"/>
          <w:szCs w:val="44"/>
          <w:lang w:val="en-US" w:eastAsia="zh-CN"/>
        </w:rPr>
        <w:t>五台山教育中心参加《暑期学校安全管理人员培训工作会议》</w:t>
      </w:r>
    </w:p>
    <w:p w14:paraId="46C85206">
      <w:pPr>
        <w:ind w:firstLine="640" w:firstLineChars="200"/>
        <w:rPr>
          <w:rFonts w:hint="eastAsia" w:ascii="仿宋" w:hAnsi="仿宋" w:eastAsia="仿宋" w:cs="仿宋"/>
          <w:sz w:val="32"/>
          <w:szCs w:val="32"/>
          <w:lang w:val="en-US" w:eastAsia="zh-CN"/>
        </w:rPr>
      </w:pPr>
    </w:p>
    <w:p w14:paraId="7AB73D9F">
      <w:pPr>
        <w:ind w:firstLine="640" w:firstLineChars="200"/>
        <w:rPr>
          <w:rFonts w:hint="eastAsia" w:ascii="仿宋" w:hAnsi="仿宋" w:eastAsia="仿宋" w:cs="仿宋"/>
          <w:i w:val="0"/>
          <w:iCs w:val="0"/>
          <w:caps w:val="0"/>
          <w:color w:val="333333"/>
          <w:spacing w:val="0"/>
          <w:sz w:val="32"/>
          <w:szCs w:val="32"/>
          <w:shd w:val="clear" w:fill="FFFFFF"/>
          <w:lang w:eastAsia="zh-CN"/>
        </w:rPr>
      </w:pPr>
      <w:r>
        <w:rPr>
          <w:rFonts w:hint="eastAsia" w:ascii="仿宋" w:hAnsi="仿宋" w:eastAsia="仿宋" w:cs="仿宋"/>
          <w:sz w:val="32"/>
          <w:szCs w:val="32"/>
          <w:lang w:val="en-US" w:eastAsia="zh-CN"/>
        </w:rPr>
        <w:t>2024年7月21日-23日，五台山教育中心安全科负责人、景区常青学校校长、石咀学校校长共3人，参加由</w:t>
      </w:r>
      <w:r>
        <w:rPr>
          <w:rFonts w:hint="eastAsia" w:ascii="仿宋" w:hAnsi="仿宋" w:eastAsia="仿宋" w:cs="仿宋"/>
          <w:i w:val="0"/>
          <w:iCs w:val="0"/>
          <w:caps w:val="0"/>
          <w:color w:val="333333"/>
          <w:spacing w:val="0"/>
          <w:sz w:val="32"/>
          <w:szCs w:val="32"/>
          <w:shd w:val="clear" w:fill="FFFFFF"/>
        </w:rPr>
        <w:t>忻州市教育局</w:t>
      </w:r>
      <w:r>
        <w:rPr>
          <w:rFonts w:hint="eastAsia" w:ascii="仿宋" w:hAnsi="仿宋" w:eastAsia="仿宋" w:cs="仿宋"/>
          <w:i w:val="0"/>
          <w:iCs w:val="0"/>
          <w:caps w:val="0"/>
          <w:color w:val="333333"/>
          <w:spacing w:val="0"/>
          <w:sz w:val="32"/>
          <w:szCs w:val="32"/>
          <w:shd w:val="clear" w:fill="FFFFFF"/>
          <w:lang w:eastAsia="zh-CN"/>
        </w:rPr>
        <w:t>组织</w:t>
      </w:r>
      <w:r>
        <w:rPr>
          <w:rFonts w:hint="eastAsia" w:ascii="仿宋" w:hAnsi="仿宋" w:eastAsia="仿宋" w:cs="仿宋"/>
          <w:i w:val="0"/>
          <w:iCs w:val="0"/>
          <w:caps w:val="0"/>
          <w:color w:val="333333"/>
          <w:spacing w:val="0"/>
          <w:sz w:val="32"/>
          <w:szCs w:val="32"/>
          <w:shd w:val="clear" w:fill="FFFFFF"/>
        </w:rPr>
        <w:t>召开</w:t>
      </w:r>
      <w:r>
        <w:rPr>
          <w:rFonts w:hint="eastAsia" w:ascii="仿宋" w:hAnsi="仿宋" w:eastAsia="仿宋" w:cs="仿宋"/>
          <w:i w:val="0"/>
          <w:iCs w:val="0"/>
          <w:caps w:val="0"/>
          <w:color w:val="333333"/>
          <w:spacing w:val="0"/>
          <w:sz w:val="32"/>
          <w:szCs w:val="32"/>
          <w:shd w:val="clear" w:fill="FFFFFF"/>
          <w:lang w:eastAsia="zh-CN"/>
        </w:rPr>
        <w:t>的《</w:t>
      </w:r>
      <w:r>
        <w:rPr>
          <w:rFonts w:hint="eastAsia" w:ascii="仿宋" w:hAnsi="仿宋" w:eastAsia="仿宋" w:cs="仿宋"/>
          <w:i w:val="0"/>
          <w:iCs w:val="0"/>
          <w:caps w:val="0"/>
          <w:color w:val="333333"/>
          <w:spacing w:val="0"/>
          <w:sz w:val="32"/>
          <w:szCs w:val="32"/>
          <w:shd w:val="clear" w:fill="FFFFFF"/>
        </w:rPr>
        <w:t>2024年暑期学校安全管理人员培训工作会议</w:t>
      </w:r>
      <w:r>
        <w:rPr>
          <w:rFonts w:hint="eastAsia" w:ascii="仿宋" w:hAnsi="仿宋" w:eastAsia="仿宋" w:cs="仿宋"/>
          <w:sz w:val="32"/>
          <w:szCs w:val="32"/>
          <w:lang w:val="en-US" w:eastAsia="zh-CN"/>
        </w:rPr>
        <w:t>》</w:t>
      </w:r>
      <w:r>
        <w:rPr>
          <w:rFonts w:hint="eastAsia" w:ascii="仿宋" w:hAnsi="仿宋" w:eastAsia="仿宋" w:cs="仿宋"/>
          <w:i w:val="0"/>
          <w:iCs w:val="0"/>
          <w:caps w:val="0"/>
          <w:color w:val="333333"/>
          <w:spacing w:val="0"/>
          <w:sz w:val="32"/>
          <w:szCs w:val="32"/>
          <w:shd w:val="clear" w:fill="FFFFFF"/>
        </w:rPr>
        <w:t>。市教育局总督学党组成员牛宁维出席培训开班仪式</w:t>
      </w:r>
      <w:r>
        <w:rPr>
          <w:rFonts w:hint="eastAsia" w:ascii="仿宋" w:hAnsi="仿宋" w:eastAsia="仿宋" w:cs="仿宋"/>
          <w:i w:val="0"/>
          <w:iCs w:val="0"/>
          <w:caps w:val="0"/>
          <w:color w:val="333333"/>
          <w:spacing w:val="0"/>
          <w:sz w:val="32"/>
          <w:szCs w:val="32"/>
          <w:shd w:val="clear" w:fill="FFFFFF"/>
          <w:lang w:eastAsia="zh-CN"/>
        </w:rPr>
        <w:t>。</w:t>
      </w:r>
    </w:p>
    <w:p w14:paraId="05872DE0">
      <w:pPr>
        <w:ind w:firstLine="640" w:firstLineChars="200"/>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t>此次培训的主要内容是认真贯彻落实习近平总书记关于安全生产系列重要指示精神，全面贯彻落实上级关于学校安全工作的部署，坚持理论学习、政策解读与工作实际相结合，以集中主题讲解的方式，培训学校安全管理人员掌握学校安全风险防控基本理论，正确解读主要政策文本，结合学校安全风险防控实际，对标研判，寻找解决问题的新思路和新方法，进一步总结经验，发现问题，提高学校安全风险防控工作的针对性和有效性，全面提升各级各类学校安全管理人员的政策水平、安全管理工作决策水平和实践能力，推动忻州市中小学、幼儿园安全风险防控体系建设，全面提升学校安全风险防控水平，营造良好教育环境和社会环境，为学生健康成长全面发展提供保障。</w:t>
      </w:r>
    </w:p>
    <w:p w14:paraId="76BE9188">
      <w:pPr>
        <w:ind w:firstLine="640" w:firstLineChars="200"/>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t>通过这次培训会，进一步强化了暑期学校安全管理工作，确保学生的安全和教育工作的顺利进行。</w:t>
      </w:r>
    </w:p>
    <w:p w14:paraId="1839D506">
      <w:pPr>
        <w:rPr>
          <w:rFonts w:hint="eastAsia" w:ascii="仿宋" w:hAnsi="仿宋" w:eastAsia="仿宋" w:cs="仿宋"/>
          <w:i w:val="0"/>
          <w:iCs w:val="0"/>
          <w:caps w:val="0"/>
          <w:color w:val="333333"/>
          <w:spacing w:val="0"/>
          <w:sz w:val="32"/>
          <w:szCs w:val="32"/>
          <w:shd w:val="clear" w:fill="FFFFFF"/>
          <w:lang w:val="en-US" w:eastAsia="zh-CN"/>
        </w:rPr>
      </w:pPr>
      <w:bookmarkStart w:id="0" w:name="_GoBack"/>
      <w:bookmarkEnd w:id="0"/>
    </w:p>
    <w:p w14:paraId="39F9B60B">
      <w:pPr>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drawing>
          <wp:inline distT="0" distB="0" distL="114300" distR="114300">
            <wp:extent cx="5229225" cy="3637915"/>
            <wp:effectExtent l="0" t="0" r="9525" b="635"/>
            <wp:docPr id="1" name="图片 1" descr="W02024072457798469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020240724577984697007"/>
                    <pic:cNvPicPr>
                      <a:picLocks noChangeAspect="1"/>
                    </pic:cNvPicPr>
                  </pic:nvPicPr>
                  <pic:blipFill>
                    <a:blip r:embed="rId4"/>
                    <a:stretch>
                      <a:fillRect/>
                    </a:stretch>
                  </pic:blipFill>
                  <pic:spPr>
                    <a:xfrm>
                      <a:off x="0" y="0"/>
                      <a:ext cx="5229225" cy="3637915"/>
                    </a:xfrm>
                    <a:prstGeom prst="rect">
                      <a:avLst/>
                    </a:prstGeom>
                  </pic:spPr>
                </pic:pic>
              </a:graphicData>
            </a:graphic>
          </wp:inline>
        </w:drawing>
      </w:r>
    </w:p>
    <w:p w14:paraId="15DFC708">
      <w:pPr>
        <w:rPr>
          <w:rFonts w:hint="eastAsia" w:ascii="仿宋" w:hAnsi="仿宋" w:eastAsia="仿宋" w:cs="仿宋"/>
          <w:i w:val="0"/>
          <w:iCs w:val="0"/>
          <w:caps w:val="0"/>
          <w:color w:val="333333"/>
          <w:spacing w:val="0"/>
          <w:sz w:val="32"/>
          <w:szCs w:val="32"/>
          <w:shd w:val="clear" w:fill="FFFFFF"/>
          <w:lang w:val="en-US" w:eastAsia="zh-CN"/>
        </w:rPr>
      </w:pPr>
    </w:p>
    <w:p w14:paraId="4EE33607">
      <w:pPr>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drawing>
          <wp:inline distT="0" distB="0" distL="114300" distR="114300">
            <wp:extent cx="5257165" cy="3401060"/>
            <wp:effectExtent l="0" t="0" r="635" b="8890"/>
            <wp:docPr id="2" name="图片 2" descr="W02024072542863345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020240725428633453341"/>
                    <pic:cNvPicPr>
                      <a:picLocks noChangeAspect="1"/>
                    </pic:cNvPicPr>
                  </pic:nvPicPr>
                  <pic:blipFill>
                    <a:blip r:embed="rId5"/>
                    <a:stretch>
                      <a:fillRect/>
                    </a:stretch>
                  </pic:blipFill>
                  <pic:spPr>
                    <a:xfrm>
                      <a:off x="0" y="0"/>
                      <a:ext cx="5257165" cy="3401060"/>
                    </a:xfrm>
                    <a:prstGeom prst="rect">
                      <a:avLst/>
                    </a:prstGeom>
                  </pic:spPr>
                </pic:pic>
              </a:graphicData>
            </a:graphic>
          </wp:inline>
        </w:drawing>
      </w:r>
    </w:p>
    <w:p w14:paraId="12C41265">
      <w:pPr>
        <w:rPr>
          <w:rFonts w:hint="eastAsia" w:ascii="仿宋" w:hAnsi="仿宋" w:eastAsia="仿宋" w:cs="仿宋"/>
          <w:i w:val="0"/>
          <w:iCs w:val="0"/>
          <w:caps w:val="0"/>
          <w:color w:val="333333"/>
          <w:spacing w:val="0"/>
          <w:sz w:val="32"/>
          <w:szCs w:val="32"/>
          <w:shd w:val="clear" w:fill="FFFFFF"/>
          <w:lang w:val="en-US" w:eastAsia="zh-CN"/>
        </w:rPr>
      </w:pPr>
    </w:p>
    <w:p w14:paraId="69EA4A0A">
      <w:pPr>
        <w:rPr>
          <w:rFonts w:hint="eastAsia" w:ascii="仿宋" w:hAnsi="仿宋" w:eastAsia="仿宋" w:cs="仿宋"/>
          <w:i w:val="0"/>
          <w:iCs w:val="0"/>
          <w:caps w:val="0"/>
          <w:color w:val="333333"/>
          <w:spacing w:val="0"/>
          <w:sz w:val="32"/>
          <w:szCs w:val="32"/>
          <w:shd w:val="clear" w:fill="FFFFFF"/>
          <w:lang w:val="en-US" w:eastAsia="zh-CN"/>
        </w:rPr>
      </w:pPr>
    </w:p>
    <w:p w14:paraId="181084C5">
      <w:pPr>
        <w:rPr>
          <w:rFonts w:hint="eastAsia" w:ascii="仿宋" w:hAnsi="仿宋" w:eastAsia="仿宋" w:cs="仿宋"/>
          <w:i w:val="0"/>
          <w:iCs w:val="0"/>
          <w:caps w:val="0"/>
          <w:color w:val="333333"/>
          <w:spacing w:val="0"/>
          <w:sz w:val="32"/>
          <w:szCs w:val="32"/>
          <w:shd w:val="clear" w:fill="FFFFFF"/>
          <w:lang w:val="en-US" w:eastAsia="zh-CN"/>
        </w:rPr>
      </w:pPr>
    </w:p>
    <w:p w14:paraId="3F6E80A1">
      <w:pPr>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drawing>
          <wp:inline distT="0" distB="0" distL="114300" distR="114300">
            <wp:extent cx="5238115" cy="3704590"/>
            <wp:effectExtent l="0" t="0" r="635" b="10160"/>
            <wp:docPr id="3" name="图片 3" descr="W02024072457798474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020240724577984749947"/>
                    <pic:cNvPicPr>
                      <a:picLocks noChangeAspect="1"/>
                    </pic:cNvPicPr>
                  </pic:nvPicPr>
                  <pic:blipFill>
                    <a:blip r:embed="rId6"/>
                    <a:stretch>
                      <a:fillRect/>
                    </a:stretch>
                  </pic:blipFill>
                  <pic:spPr>
                    <a:xfrm>
                      <a:off x="0" y="0"/>
                      <a:ext cx="5238115" cy="3704590"/>
                    </a:xfrm>
                    <a:prstGeom prst="rect">
                      <a:avLst/>
                    </a:prstGeom>
                  </pic:spPr>
                </pic:pic>
              </a:graphicData>
            </a:graphic>
          </wp:inline>
        </w:drawing>
      </w:r>
    </w:p>
    <w:p w14:paraId="6A03768B">
      <w:pPr>
        <w:rPr>
          <w:rFonts w:hint="eastAsia" w:ascii="仿宋" w:hAnsi="仿宋" w:eastAsia="仿宋" w:cs="仿宋"/>
          <w:i w:val="0"/>
          <w:iCs w:val="0"/>
          <w:caps w:val="0"/>
          <w:color w:val="333333"/>
          <w:spacing w:val="0"/>
          <w:sz w:val="32"/>
          <w:szCs w:val="32"/>
          <w:shd w:val="clear" w:fill="FFFFFF"/>
          <w:lang w:val="en-US" w:eastAsia="zh-CN"/>
        </w:rPr>
      </w:pPr>
    </w:p>
    <w:p w14:paraId="337C7CFF">
      <w:pPr>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drawing>
          <wp:inline distT="0" distB="0" distL="114300" distR="114300">
            <wp:extent cx="5229225" cy="3571240"/>
            <wp:effectExtent l="0" t="0" r="9525" b="10160"/>
            <wp:docPr id="4" name="图片 4" descr="W0202407245779847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020240724577984730053"/>
                    <pic:cNvPicPr>
                      <a:picLocks noChangeAspect="1"/>
                    </pic:cNvPicPr>
                  </pic:nvPicPr>
                  <pic:blipFill>
                    <a:blip r:embed="rId7"/>
                    <a:stretch>
                      <a:fillRect/>
                    </a:stretch>
                  </pic:blipFill>
                  <pic:spPr>
                    <a:xfrm>
                      <a:off x="0" y="0"/>
                      <a:ext cx="5229225" cy="35712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wMjE5MjYxMTVhNmQyNDhkOGQ3MTY2MmExYmJhOGMifQ=="/>
  </w:docVars>
  <w:rsids>
    <w:rsidRoot w:val="4B9D08B4"/>
    <w:rsid w:val="360D7B3A"/>
    <w:rsid w:val="4B9D08B4"/>
    <w:rsid w:val="5FDA0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465</Words>
  <Characters>474</Characters>
  <Lines>0</Lines>
  <Paragraphs>0</Paragraphs>
  <TotalTime>22</TotalTime>
  <ScaleCrop>false</ScaleCrop>
  <LinksUpToDate>false</LinksUpToDate>
  <CharactersWithSpaces>474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2024-08-22T06:47:00Z</dcterms:created>
  <dc:creator>是路不是鹿～</dc:creator>
  <cp:lastModifiedBy>是路不是鹿～</cp:lastModifiedBy>
  <dcterms:modified xsi:type="dcterms:W3CDTF">2024-08-22T08:51:41Z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CF0E5D2932474623924F5034A920E404_11</vt:lpwstr>
  </property>
</Properties>
</file>