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both"/>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ascii="CESI仿宋-GB2312" w:hAnsi="CESI仿宋-GB2312" w:eastAsia="CESI仿宋-GB2312" w:cs="CESI仿宋-GB2312"/>
          <w:sz w:val="32"/>
          <w:szCs w:val="32"/>
        </w:rPr>
      </w:pPr>
      <w:r>
        <w:rPr>
          <w:rFonts w:hint="eastAsia" w:ascii="仿宋" w:hAnsi="仿宋" w:eastAsia="仿宋" w:cs="仿宋"/>
          <w:b w:val="0"/>
          <w:bCs w:val="0"/>
          <w:sz w:val="32"/>
          <w:szCs w:val="32"/>
          <w:lang w:val="en-US" w:eastAsia="zh-CN"/>
        </w:rPr>
        <w:t>台景市场监督〔2022〕11号</w:t>
      </w:r>
      <w:r>
        <w:rPr>
          <w:rFonts w:ascii="CESI仿宋-GB2312" w:hAnsi="CESI仿宋-GB2312" w:eastAsia="CESI仿宋-GB2312" w:cs="CESI仿宋-GB2312"/>
          <w:sz w:val="32"/>
          <w:szCs w:val="32"/>
        </w:rPr>
        <mc:AlternateContent>
          <mc:Choice Requires="wps">
            <w:drawing>
              <wp:anchor distT="0" distB="0" distL="114300" distR="114300" simplePos="0" relativeHeight="251659264" behindDoc="0" locked="0" layoutInCell="1" allowOverlap="1">
                <wp:simplePos x="0" y="0"/>
                <wp:positionH relativeFrom="column">
                  <wp:posOffset>5471795</wp:posOffset>
                </wp:positionH>
                <wp:positionV relativeFrom="paragraph">
                  <wp:posOffset>127000</wp:posOffset>
                </wp:positionV>
                <wp:extent cx="269875" cy="0"/>
                <wp:effectExtent l="0" t="0" r="0" b="0"/>
                <wp:wrapTopAndBottom/>
                <wp:docPr id="3" name="文本框 3"/>
                <wp:cNvGraphicFramePr/>
                <a:graphic xmlns:a="http://schemas.openxmlformats.org/drawingml/2006/main">
                  <a:graphicData uri="http://schemas.microsoft.com/office/word/2010/wordprocessingShape">
                    <wps:wsp>
                      <wps:cNvSpPr txBox="1"/>
                      <wps:spPr>
                        <a:xfrm>
                          <a:off x="0" y="0"/>
                          <a:ext cx="269875" cy="0"/>
                        </a:xfrm>
                        <a:prstGeom prst="rect">
                          <a:avLst/>
                        </a:prstGeom>
                        <a:noFill/>
                        <a:ln w="9525">
                          <a:noFill/>
                        </a:ln>
                        <a:effectLst/>
                      </wps:spPr>
                      <wps:txbx>
                        <w:txbxContent>
                          <w:p>
                            <w:pPr>
                              <w:autoSpaceDE w:val="0"/>
                              <w:autoSpaceDN w:val="0"/>
                              <w:spacing w:line="320" w:lineRule="atLeast"/>
                              <w:jc w:val="left"/>
                            </w:pPr>
                          </w:p>
                        </w:txbxContent>
                      </wps:txbx>
                      <wps:bodyPr lIns="0" tIns="0" rIns="0" bIns="0" upright="1">
                        <a:spAutoFit/>
                      </wps:bodyPr>
                    </wps:wsp>
                  </a:graphicData>
                </a:graphic>
              </wp:anchor>
            </w:drawing>
          </mc:Choice>
          <mc:Fallback>
            <w:pict>
              <v:shape id="_x0000_s1026" o:spid="_x0000_s1026" o:spt="202" type="#_x0000_t202" style="position:absolute;left:0pt;margin-left:430.85pt;margin-top:10pt;height:0pt;width:21.25pt;mso-wrap-distance-bottom:0pt;mso-wrap-distance-top:0pt;z-index:251659264;mso-width-relative:page;mso-height-relative:page;" filled="f" stroked="f" coordsize="21600,21600" o:gfxdata="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Salt9QAAAAJAQAADwAAAAAAAAABACAAAAAiAAAAZHJz&#10;L2Rvd25yZXYueG1sUEsBAhQAFAAAAAgAh07iQMQp1AvPAQAAnQMAAA4AAAAAAAAAAQAgAAAAIwEA&#10;AGRycy9lMm9Eb2MueG1sUEsFBgAAAAAGAAYAWQEAAGQFAAAAAA==&#10;">
                <v:fill on="f" focussize="0,0"/>
                <v:stroke on="f"/>
                <v:imagedata o:title=""/>
                <o:lock v:ext="edit" aspectratio="f"/>
                <v:textbox inset="0mm,0mm,0mm,0mm" style="mso-fit-shape-to-text:t;">
                  <w:txbxContent>
                    <w:p>
                      <w:pPr>
                        <w:autoSpaceDE w:val="0"/>
                        <w:autoSpaceDN w:val="0"/>
                        <w:spacing w:line="320" w:lineRule="atLeast"/>
                        <w:jc w:val="left"/>
                      </w:pPr>
                    </w:p>
                  </w:txbxContent>
                </v:textbox>
                <w10:wrap type="topAndBottom"/>
              </v:shape>
            </w:pict>
          </mc:Fallback>
        </mc:AlternateContent>
      </w:r>
    </w:p>
    <w:p>
      <w:pPr>
        <w:pStyle w:val="2"/>
        <w:ind w:left="0" w:leftChars="0" w:firstLine="0" w:firstLineChars="0"/>
        <w:jc w:val="center"/>
        <w:rPr>
          <w:rFonts w:hint="eastAsia" w:ascii="宋体" w:hAnsi="宋体"/>
          <w:b/>
          <w:bCs/>
          <w:color w:val="auto"/>
          <w:position w:val="0"/>
          <w:sz w:val="44"/>
          <w:szCs w:val="44"/>
          <w:lang w:val="en-US" w:eastAsia="zh-CN"/>
        </w:rPr>
      </w:pPr>
    </w:p>
    <w:p>
      <w:pPr>
        <w:pStyle w:val="2"/>
        <w:ind w:left="0" w:leftChars="0" w:firstLine="0" w:firstLineChars="0"/>
        <w:jc w:val="center"/>
        <w:rPr>
          <w:rFonts w:hint="eastAsia" w:ascii="宋体" w:hAnsi="宋体"/>
          <w:b/>
          <w:bCs/>
          <w:color w:val="auto"/>
          <w:position w:val="0"/>
          <w:sz w:val="44"/>
          <w:szCs w:val="44"/>
          <w:lang w:val="en-US" w:eastAsia="zh-CN"/>
        </w:rPr>
      </w:pPr>
      <w:bookmarkStart w:id="0" w:name="_GoBack"/>
      <w:r>
        <w:rPr>
          <w:rFonts w:hint="eastAsia" w:ascii="宋体" w:hAnsi="宋体"/>
          <w:b/>
          <w:bCs/>
          <w:color w:val="auto"/>
          <w:position w:val="0"/>
          <w:sz w:val="44"/>
          <w:szCs w:val="44"/>
          <w:lang w:val="en-US" w:eastAsia="zh-CN"/>
        </w:rPr>
        <w:t>五台山风景名胜区市场监督管理局</w:t>
      </w:r>
    </w:p>
    <w:p>
      <w:pPr>
        <w:pStyle w:val="2"/>
        <w:ind w:left="0" w:leftChars="0" w:firstLine="0" w:firstLineChars="0"/>
        <w:jc w:val="center"/>
        <w:rPr>
          <w:rFonts w:hint="eastAsia" w:ascii="宋体" w:hAnsi="宋体"/>
          <w:b/>
          <w:bCs/>
          <w:color w:val="auto"/>
          <w:position w:val="0"/>
          <w:sz w:val="44"/>
          <w:szCs w:val="44"/>
          <w:lang w:val="en-US" w:eastAsia="zh-CN"/>
        </w:rPr>
      </w:pPr>
      <w:r>
        <w:rPr>
          <w:rFonts w:hint="eastAsia" w:ascii="宋体" w:hAnsi="宋体"/>
          <w:b/>
          <w:bCs/>
          <w:color w:val="auto"/>
          <w:position w:val="0"/>
          <w:sz w:val="44"/>
          <w:szCs w:val="44"/>
          <w:lang w:val="en-US" w:eastAsia="zh-CN"/>
        </w:rPr>
        <w:t>关于印发《五台山风景名胜区市场监督管理局关于打造“三无”“三可”营商环境</w:t>
      </w:r>
    </w:p>
    <w:p>
      <w:pPr>
        <w:pStyle w:val="2"/>
        <w:ind w:left="0" w:leftChars="0" w:firstLine="0" w:firstLineChars="0"/>
        <w:jc w:val="center"/>
        <w:rPr>
          <w:rFonts w:hint="default" w:ascii="宋体" w:hAnsi="宋体"/>
          <w:b/>
          <w:bCs/>
          <w:color w:val="auto"/>
          <w:position w:val="0"/>
          <w:sz w:val="44"/>
          <w:szCs w:val="44"/>
          <w:lang w:val="en-US" w:eastAsia="zh-CN"/>
        </w:rPr>
      </w:pPr>
      <w:r>
        <w:rPr>
          <w:rFonts w:hint="eastAsia" w:ascii="宋体" w:hAnsi="宋体"/>
          <w:b/>
          <w:bCs/>
          <w:color w:val="auto"/>
          <w:position w:val="0"/>
          <w:sz w:val="44"/>
          <w:szCs w:val="44"/>
          <w:lang w:val="en-US" w:eastAsia="zh-CN"/>
        </w:rPr>
        <w:t>实施方案》的通知</w:t>
      </w:r>
    </w:p>
    <w:bookmarkEnd w:id="0"/>
    <w:p>
      <w:pPr>
        <w:rPr>
          <w:rFonts w:hint="eastAsia" w:ascii="仿宋" w:hAnsi="仿宋" w:eastAsia="仿宋" w:cs="仿宋"/>
          <w:sz w:val="32"/>
          <w:szCs w:val="32"/>
          <w:lang w:val="en-US" w:eastAsia="zh-CN"/>
        </w:rPr>
      </w:pPr>
    </w:p>
    <w:p>
      <w:pPr>
        <w:rPr>
          <w:rFonts w:hint="eastAsia" w:ascii="仿宋" w:hAnsi="仿宋" w:eastAsia="仿宋" w:cs="仿宋"/>
          <w:sz w:val="32"/>
          <w:szCs w:val="32"/>
        </w:rPr>
      </w:pPr>
      <w:r>
        <w:rPr>
          <w:rFonts w:hint="eastAsia" w:ascii="仿宋" w:hAnsi="仿宋" w:eastAsia="仿宋" w:cs="仿宋"/>
          <w:sz w:val="32"/>
          <w:szCs w:val="32"/>
          <w:lang w:val="en-US" w:eastAsia="zh-CN"/>
        </w:rPr>
        <w:t>局</w:t>
      </w:r>
      <w:r>
        <w:rPr>
          <w:rFonts w:hint="eastAsia" w:ascii="仿宋" w:hAnsi="仿宋" w:eastAsia="仿宋" w:cs="仿宋"/>
          <w:sz w:val="32"/>
          <w:szCs w:val="32"/>
        </w:rPr>
        <w:t>各科</w:t>
      </w:r>
      <w:r>
        <w:rPr>
          <w:rFonts w:hint="eastAsia" w:ascii="仿宋" w:hAnsi="仿宋" w:eastAsia="仿宋" w:cs="仿宋"/>
          <w:sz w:val="32"/>
          <w:szCs w:val="32"/>
          <w:lang w:eastAsia="zh-CN"/>
        </w:rPr>
        <w:t>、</w:t>
      </w:r>
      <w:r>
        <w:rPr>
          <w:rFonts w:hint="eastAsia" w:ascii="仿宋" w:hAnsi="仿宋" w:eastAsia="仿宋" w:cs="仿宋"/>
          <w:sz w:val="32"/>
          <w:szCs w:val="32"/>
        </w:rPr>
        <w:t>室、</w:t>
      </w:r>
      <w:r>
        <w:rPr>
          <w:rFonts w:hint="eastAsia" w:ascii="仿宋" w:hAnsi="仿宋" w:eastAsia="仿宋" w:cs="仿宋"/>
          <w:sz w:val="32"/>
          <w:szCs w:val="32"/>
          <w:lang w:val="en-US" w:eastAsia="zh-CN"/>
        </w:rPr>
        <w:t>队</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现将《</w:t>
      </w:r>
      <w:r>
        <w:rPr>
          <w:rFonts w:hint="eastAsia" w:ascii="仿宋" w:hAnsi="仿宋" w:eastAsia="仿宋" w:cs="仿宋"/>
          <w:sz w:val="32"/>
          <w:szCs w:val="32"/>
          <w:lang w:val="en-US" w:eastAsia="zh-CN"/>
        </w:rPr>
        <w:t>五台山风景名胜区</w:t>
      </w:r>
      <w:r>
        <w:rPr>
          <w:rFonts w:hint="eastAsia" w:ascii="仿宋" w:hAnsi="仿宋" w:eastAsia="仿宋" w:cs="仿宋"/>
          <w:sz w:val="32"/>
          <w:szCs w:val="32"/>
        </w:rPr>
        <w:t>市场监督管理局关于打造“三无”“三可”营商环境实施方案》印发给你们,请认真抓好贯彻落实。</w:t>
      </w:r>
    </w:p>
    <w:p>
      <w:pPr>
        <w:rPr>
          <w:rFonts w:hint="eastAsia" w:ascii="仿宋" w:hAnsi="仿宋" w:eastAsia="仿宋" w:cs="仿宋"/>
          <w:sz w:val="32"/>
          <w:szCs w:val="32"/>
          <w:lang w:val="en-US" w:eastAsia="zh-CN"/>
        </w:rPr>
      </w:pPr>
    </w:p>
    <w:p>
      <w:pPr>
        <w:pStyle w:val="2"/>
        <w:rPr>
          <w:rFonts w:hint="eastAsia"/>
          <w:lang w:val="en-US" w:eastAsia="zh-CN"/>
        </w:rPr>
      </w:pPr>
    </w:p>
    <w:p>
      <w:pPr>
        <w:ind w:firstLine="3200" w:firstLineChars="1000"/>
        <w:rPr>
          <w:rFonts w:hint="eastAsia" w:ascii="仿宋" w:hAnsi="仿宋" w:eastAsia="仿宋" w:cs="仿宋"/>
          <w:sz w:val="32"/>
          <w:szCs w:val="32"/>
          <w:lang w:val="en-US" w:eastAsia="zh-CN"/>
        </w:rPr>
      </w:pPr>
    </w:p>
    <w:p>
      <w:pPr>
        <w:ind w:firstLine="3200" w:firstLineChars="1000"/>
        <w:rPr>
          <w:rFonts w:hint="eastAsia" w:ascii="仿宋" w:hAnsi="仿宋" w:eastAsia="仿宋" w:cs="仿宋"/>
          <w:sz w:val="32"/>
          <w:szCs w:val="32"/>
          <w:lang w:val="en-US" w:eastAsia="zh-CN"/>
        </w:rPr>
      </w:pPr>
    </w:p>
    <w:p>
      <w:pPr>
        <w:ind w:firstLine="3200" w:firstLineChars="10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五台山风景名胜区市场监督管理局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仿宋" w:hAnsi="仿宋" w:eastAsia="仿宋" w:cs="仿宋"/>
          <w:sz w:val="32"/>
          <w:szCs w:val="32"/>
          <w:lang w:val="en-US" w:eastAsia="zh-CN"/>
        </w:rPr>
        <w:t xml:space="preserve">               2022年10月17日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五台山风景名胜区市场监督管理局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关于打造“三无”“三可”营商环境</w:t>
      </w:r>
    </w:p>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实施方案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认真贯彻落实省、市部署要求，持续深化“放管服”改革，落实“五有套餐”配套办法，着力打造“无差别、无障碍、无后顾之忧”“可预期、可信赖、可发展”的“三无”“三可”营商环境。以实施市场主体倍增工程牵引营商环境持续优化，进一步激发市场活力和全社会创造力，扎实推进市场主体增总量、扩规模、提质效，激发市场活力和社会创造力。结合景区实际，现就打造“三无”“三可”营商环境具体工作制定如下方案：</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一、指导思想</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坚持以习近平新时代中国特色社会主义思想为指导，全面贯彻党的十九大和十九届历次全会精神，认真落实习近平总书记两次视察山西关于优化营商环境的重要讲话重要指示精神，全力落实各级党委、政府对优化营商环境的工作部署，</w:t>
      </w:r>
      <w:r>
        <w:rPr>
          <w:rFonts w:hint="eastAsia" w:ascii="仿宋" w:hAnsi="仿宋" w:eastAsia="仿宋" w:cs="仿宋"/>
          <w:sz w:val="32"/>
          <w:szCs w:val="32"/>
        </w:rPr>
        <w:t>在</w:t>
      </w:r>
      <w:r>
        <w:rPr>
          <w:rFonts w:hint="eastAsia" w:ascii="仿宋" w:hAnsi="仿宋" w:eastAsia="仿宋" w:cs="仿宋"/>
          <w:sz w:val="32"/>
          <w:szCs w:val="32"/>
          <w:lang w:val="en-US" w:eastAsia="zh-CN"/>
        </w:rPr>
        <w:t>景区</w:t>
      </w:r>
      <w:r>
        <w:rPr>
          <w:rFonts w:hint="eastAsia" w:ascii="仿宋" w:hAnsi="仿宋" w:eastAsia="仿宋" w:cs="仿宋"/>
          <w:sz w:val="32"/>
          <w:szCs w:val="32"/>
        </w:rPr>
        <w:t>市场监管系统开展优化营商环境大行动,</w:t>
      </w:r>
      <w:r>
        <w:rPr>
          <w:rFonts w:hint="eastAsia" w:ascii="仿宋" w:hAnsi="仿宋" w:eastAsia="仿宋" w:cs="仿宋"/>
          <w:sz w:val="32"/>
          <w:szCs w:val="32"/>
          <w:lang w:val="en-US" w:eastAsia="zh-CN"/>
        </w:rPr>
        <w:t>当好企业“服务员”，积极践行亲清政商关系，</w:t>
      </w:r>
      <w:r>
        <w:rPr>
          <w:rFonts w:hint="eastAsia" w:ascii="仿宋" w:hAnsi="仿宋" w:eastAsia="仿宋" w:cs="仿宋"/>
          <w:sz w:val="32"/>
          <w:szCs w:val="32"/>
        </w:rPr>
        <w:t>持续激发市场活力和创造力,增强企业发展信心和竞争力,努力打造一流的营商环境。</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二、工作机制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成立优化营商环境工作领导小组,局党组书记、局长任组长,其他党组班子成员任副组长,相关科室负责人为成员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三、工作任务</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(一)推进“双随机、一公开”监管全覆盖。</w:t>
      </w:r>
      <w:r>
        <w:rPr>
          <w:rFonts w:hint="eastAsia" w:ascii="仿宋" w:hAnsi="仿宋" w:eastAsia="仿宋" w:cs="仿宋"/>
          <w:sz w:val="32"/>
          <w:szCs w:val="32"/>
        </w:rPr>
        <w:t>持续扩大“双随机、一公开”监管实施范围,除特殊重点领域外,各部门涉企双随机检查事项覆盖率达100%,涉企双随机抽查结果公示率达100%。通过“双随机、一公开”监管,做到“进一次门、查多项事”,实现市场监管领域相关部门“双随机、一公开”监管全覆盖,市场监管领域部门联合“双随机、一公开”监管常态化。强化市场主体责任,将随机抽查的频次、被抽查概率与抽查对象的信用等级、风险程度直接挂钩,对有不良信用记录、风险高的市场主体加大抽查力度,对信用较好、风险较低的市场主体相应减少抽查频次,最大限度减少对企业正常生产经营活动的干扰。(责任科室:</w:t>
      </w:r>
      <w:r>
        <w:rPr>
          <w:rFonts w:hint="eastAsia" w:ascii="仿宋" w:hAnsi="仿宋" w:eastAsia="仿宋" w:cs="仿宋"/>
          <w:sz w:val="32"/>
          <w:szCs w:val="32"/>
          <w:lang w:val="en-US" w:eastAsia="zh-CN"/>
        </w:rPr>
        <w:t>工商科、食药科、质监科、监管科</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(二)加强涉企信息归集公示和信用修复</w:t>
      </w:r>
      <w:r>
        <w:rPr>
          <w:rFonts w:hint="eastAsia" w:ascii="仿宋" w:hAnsi="仿宋" w:eastAsia="仿宋" w:cs="仿宋"/>
          <w:sz w:val="32"/>
          <w:szCs w:val="32"/>
        </w:rPr>
        <w:t>。根据《企业信息公示暂行条例》和市场监管相关规定,通过国家企业信用信息公示系统(</w:t>
      </w:r>
      <w:r>
        <w:rPr>
          <w:rFonts w:hint="eastAsia" w:ascii="仿宋" w:hAnsi="仿宋" w:eastAsia="仿宋" w:cs="仿宋"/>
          <w:sz w:val="32"/>
          <w:szCs w:val="32"/>
          <w:lang w:val="en-US" w:eastAsia="zh-CN"/>
        </w:rPr>
        <w:t>山西</w:t>
      </w:r>
      <w:r>
        <w:rPr>
          <w:rFonts w:hint="eastAsia" w:ascii="仿宋" w:hAnsi="仿宋" w:eastAsia="仿宋" w:cs="仿宋"/>
          <w:sz w:val="32"/>
          <w:szCs w:val="32"/>
        </w:rPr>
        <w:t>)实时向社会公示行政许可、行政处罚等信息,实现企业信息互联共享。加强经营异常名录和严重违法失信企业名单管理,完善经营异常名录和严重违法失信企业名单,指导帮助企业依法申请移出异常经营名录和严重违法失信企业名单。(责任科室:</w:t>
      </w:r>
      <w:r>
        <w:rPr>
          <w:rFonts w:hint="eastAsia" w:ascii="仿宋" w:hAnsi="仿宋" w:eastAsia="仿宋" w:cs="仿宋"/>
          <w:sz w:val="32"/>
          <w:szCs w:val="32"/>
          <w:lang w:val="en-US" w:eastAsia="zh-CN"/>
        </w:rPr>
        <w:t>工商科</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(三)加强知识产权保护和运用。</w:t>
      </w:r>
      <w:r>
        <w:rPr>
          <w:rFonts w:hint="eastAsia" w:ascii="仿宋" w:hAnsi="仿宋" w:eastAsia="仿宋" w:cs="仿宋"/>
          <w:sz w:val="32"/>
          <w:szCs w:val="32"/>
        </w:rPr>
        <w:t>组织开展商标、专利、地理标志侵权假冒专项执法,加大对侵权假冒案件的查办和督办力度,严厉打击侵犯知识产权和制售假冒伪劣商品行为。推动建立知识产权侵权纠纷多元化解机制,健全知识产权快速协同保护机制和知识产权维权援助机制。积极推动知识产权质押融资,为企业开展知识产权质押融资提供良好服务,拓宽企业融资渠道。推进知识产权申请便利化,做好知识产权申请指导和政策宣传。(责任科室:</w:t>
      </w:r>
      <w:r>
        <w:rPr>
          <w:rFonts w:hint="eastAsia" w:ascii="仿宋" w:hAnsi="仿宋" w:eastAsia="仿宋" w:cs="仿宋"/>
          <w:sz w:val="32"/>
          <w:szCs w:val="32"/>
          <w:lang w:val="en-US" w:eastAsia="zh-CN"/>
        </w:rPr>
        <w:t>工商科、市场监管执法中队</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(四)加强民生价格监管和涉企收费治理</w:t>
      </w:r>
      <w:r>
        <w:rPr>
          <w:rFonts w:hint="eastAsia" w:ascii="仿宋" w:hAnsi="仿宋" w:eastAsia="仿宋" w:cs="仿宋"/>
          <w:sz w:val="32"/>
          <w:szCs w:val="32"/>
        </w:rPr>
        <w:t>。围绕保障民生权益,持续加强医药、教育、公用企事业、消费品、供水、供电、供气、供热、电信、有线电视、邮政、排水与污水处理、交通运输等民生领域价格监督检查和日常市场巡查。围绕降低实体经济成本,加强涉企收费整治和垄断行业价格监管,打通减费降负政策落实的“最后一公里”。(责任科室:</w:t>
      </w:r>
      <w:r>
        <w:rPr>
          <w:rFonts w:hint="eastAsia" w:ascii="仿宋" w:hAnsi="仿宋" w:eastAsia="仿宋" w:cs="仿宋"/>
          <w:sz w:val="32"/>
          <w:szCs w:val="32"/>
          <w:lang w:val="en-US" w:eastAsia="zh-CN"/>
        </w:rPr>
        <w:t>监管科</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(五)提升食品安全服务水平。</w:t>
      </w:r>
      <w:r>
        <w:rPr>
          <w:rFonts w:hint="eastAsia" w:ascii="仿宋" w:hAnsi="仿宋" w:eastAsia="仿宋" w:cs="仿宋"/>
          <w:sz w:val="32"/>
          <w:szCs w:val="32"/>
        </w:rPr>
        <w:t>本着监管就是服务的理念,防源头、管过程、控风险,主动服务,严格监管,不断探索新思路、新路径、新举措,加强协调和沟通,强化服务手段,发现存在食品安全高风险问题,首先向食品经营户指出来,要求限期改正,对违反《中华人民共和国食品安全法》相关内容的,依法进行处置,同时注重监管的实践,主动作为、履职尽责,有效提升监管水平和服务质量,切实把保障食品安全优化营商环境落到实处、见到实效,切实提高经营户的满意度。(责任科室:</w:t>
      </w:r>
      <w:r>
        <w:rPr>
          <w:rFonts w:hint="eastAsia" w:ascii="仿宋" w:hAnsi="仿宋" w:eastAsia="仿宋" w:cs="仿宋"/>
          <w:sz w:val="32"/>
          <w:szCs w:val="32"/>
          <w:lang w:val="en-US" w:eastAsia="zh-CN"/>
        </w:rPr>
        <w:t>食药科、市场监管执法中队</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(六)强化药品医疗器械化妆品安全监管。</w:t>
      </w:r>
      <w:r>
        <w:rPr>
          <w:rFonts w:hint="eastAsia" w:ascii="仿宋" w:hAnsi="仿宋" w:eastAsia="仿宋" w:cs="仿宋"/>
          <w:sz w:val="32"/>
          <w:szCs w:val="32"/>
        </w:rPr>
        <w:t>加强和规范事中事后监管,切实减少重复检查、多头检查对药品医疗器械化妆品企业的影响,减轻企业负担</w:t>
      </w:r>
      <w:r>
        <w:rPr>
          <w:rFonts w:hint="eastAsia" w:ascii="仿宋" w:hAnsi="仿宋" w:eastAsia="仿宋" w:cs="仿宋"/>
          <w:sz w:val="32"/>
          <w:szCs w:val="32"/>
          <w:lang w:eastAsia="zh-CN"/>
        </w:rPr>
        <w:t>。</w:t>
      </w:r>
      <w:r>
        <w:rPr>
          <w:rFonts w:hint="eastAsia" w:ascii="仿宋" w:hAnsi="仿宋" w:eastAsia="仿宋" w:cs="仿宋"/>
          <w:sz w:val="32"/>
          <w:szCs w:val="32"/>
        </w:rPr>
        <w:t>着力解决药品追溯管理、流通数据分析等方面监管能力的不足,更好地服务群众安全用药的“最后一公里”。(责任科室:</w:t>
      </w:r>
      <w:r>
        <w:rPr>
          <w:rFonts w:hint="eastAsia" w:ascii="仿宋" w:hAnsi="仿宋" w:eastAsia="仿宋" w:cs="仿宋"/>
          <w:sz w:val="32"/>
          <w:szCs w:val="32"/>
          <w:lang w:val="en-US" w:eastAsia="zh-CN"/>
        </w:rPr>
        <w:t>食药科</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rPr>
        <w:t>(七)狠抓特种设备安全监</w:t>
      </w:r>
      <w:r>
        <w:rPr>
          <w:rFonts w:hint="eastAsia" w:ascii="仿宋" w:hAnsi="仿宋" w:eastAsia="仿宋" w:cs="仿宋"/>
          <w:sz w:val="32"/>
          <w:szCs w:val="32"/>
        </w:rPr>
        <w:t>管。为全力营造一流的营商环境,激发创新活力让企业安心发展,服务</w:t>
      </w:r>
      <w:r>
        <w:rPr>
          <w:rFonts w:hint="eastAsia" w:ascii="仿宋" w:hAnsi="仿宋" w:eastAsia="仿宋" w:cs="仿宋"/>
          <w:sz w:val="32"/>
          <w:szCs w:val="32"/>
          <w:lang w:val="en-US" w:eastAsia="zh-CN"/>
        </w:rPr>
        <w:t>景区</w:t>
      </w:r>
      <w:r>
        <w:rPr>
          <w:rFonts w:hint="eastAsia" w:ascii="仿宋" w:hAnsi="仿宋" w:eastAsia="仿宋" w:cs="仿宋"/>
          <w:sz w:val="32"/>
          <w:szCs w:val="32"/>
        </w:rPr>
        <w:t>经济高质量发展大局。对公众聚集场所、故障多发和问题反映集中的特种设备,实施重点监督检查,确保安全风险可控。深化“放管服”改革,坚持一次性告知原则,精简手续,对前来办理特种设备</w:t>
      </w:r>
      <w:r>
        <w:rPr>
          <w:rFonts w:hint="eastAsia" w:ascii="仿宋" w:hAnsi="仿宋" w:eastAsia="仿宋" w:cs="仿宋"/>
          <w:sz w:val="32"/>
          <w:szCs w:val="32"/>
          <w:lang w:val="en-US" w:eastAsia="zh-CN"/>
        </w:rPr>
        <w:t>使用</w:t>
      </w:r>
      <w:r>
        <w:rPr>
          <w:rFonts w:hint="eastAsia" w:ascii="仿宋" w:hAnsi="仿宋" w:eastAsia="仿宋" w:cs="仿宋"/>
          <w:sz w:val="32"/>
          <w:szCs w:val="32"/>
        </w:rPr>
        <w:t>登记、</w:t>
      </w:r>
      <w:r>
        <w:rPr>
          <w:rFonts w:hint="eastAsia" w:ascii="仿宋" w:hAnsi="仿宋" w:eastAsia="仿宋" w:cs="仿宋"/>
          <w:sz w:val="32"/>
          <w:szCs w:val="32"/>
          <w:lang w:val="en-US" w:eastAsia="zh-CN"/>
        </w:rPr>
        <w:t>变更登记、停用、报废、注销</w:t>
      </w:r>
      <w:r>
        <w:rPr>
          <w:rFonts w:hint="eastAsia" w:ascii="仿宋" w:hAnsi="仿宋" w:eastAsia="仿宋" w:cs="仿宋"/>
          <w:sz w:val="32"/>
          <w:szCs w:val="32"/>
        </w:rPr>
        <w:t>事项的企业以服务为抓手,能一次性办结的绝不让企业跑二趟,真正实现群众少跑路,持续提升企业和群众的满意度。(责任科室:</w:t>
      </w:r>
      <w:r>
        <w:rPr>
          <w:rFonts w:hint="eastAsia" w:ascii="仿宋" w:hAnsi="仿宋" w:eastAsia="仿宋" w:cs="仿宋"/>
          <w:sz w:val="32"/>
          <w:szCs w:val="32"/>
          <w:lang w:val="en-US" w:eastAsia="zh-CN"/>
        </w:rPr>
        <w:t>质监科）</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(八)推进质量认证体系建设。</w:t>
      </w:r>
      <w:r>
        <w:rPr>
          <w:rFonts w:hint="eastAsia" w:ascii="仿宋" w:hAnsi="仿宋" w:eastAsia="仿宋" w:cs="仿宋"/>
          <w:sz w:val="32"/>
          <w:szCs w:val="32"/>
        </w:rPr>
        <w:t>聚焦市场关切,把优化营商环境作为加快高质量发展的突破口,拿出更实举措,提供精准服务,切实惠企便民。做好对企业标准化工作指导,帮扶企业制定企业标准,并在标准网上进行公布,动员指导符合条件的企业申报</w:t>
      </w:r>
      <w:r>
        <w:rPr>
          <w:rFonts w:hint="eastAsia" w:ascii="仿宋" w:hAnsi="仿宋" w:eastAsia="仿宋" w:cs="仿宋"/>
          <w:sz w:val="32"/>
          <w:szCs w:val="32"/>
          <w:lang w:val="en-US" w:eastAsia="zh-CN"/>
        </w:rPr>
        <w:t>市</w:t>
      </w:r>
      <w:r>
        <w:rPr>
          <w:rFonts w:hint="eastAsia" w:ascii="仿宋" w:hAnsi="仿宋" w:eastAsia="仿宋" w:cs="仿宋"/>
          <w:sz w:val="32"/>
          <w:szCs w:val="32"/>
        </w:rPr>
        <w:t>长质量奖。组织开展产品质量分类监管工作,指导协调产品质量的行业、地方和专业性监督,确保不发生系统性、区域性和源发性的质量安全事故。(责任科室:</w:t>
      </w:r>
      <w:r>
        <w:rPr>
          <w:rFonts w:hint="eastAsia" w:ascii="仿宋" w:hAnsi="仿宋" w:eastAsia="仿宋" w:cs="仿宋"/>
          <w:sz w:val="32"/>
          <w:szCs w:val="32"/>
          <w:lang w:val="en-US" w:eastAsia="zh-CN"/>
        </w:rPr>
        <w:t>质监科</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(九)落实和完善包容审慎监管。</w:t>
      </w:r>
      <w:r>
        <w:rPr>
          <w:rFonts w:hint="eastAsia" w:ascii="仿宋" w:hAnsi="仿宋" w:eastAsia="仿宋" w:cs="仿宋"/>
          <w:sz w:val="32"/>
          <w:szCs w:val="32"/>
        </w:rPr>
        <w:t>对情节轻微、负面影响较小的苗头性问题,主要采取约谈、警告、责令改正等措施及时予以纠正,引导企业健康规范发展。严格执行行政处罚自由裁量基准,坚持合法原则、过罚相当原则、处罚与教育相结合原则、综合裁量原则,全面推进严格执法、公正执法、精准执法。(责任科室:市场监管</w:t>
      </w:r>
      <w:r>
        <w:rPr>
          <w:rFonts w:hint="eastAsia" w:ascii="仿宋" w:hAnsi="仿宋" w:eastAsia="仿宋" w:cs="仿宋"/>
          <w:sz w:val="32"/>
          <w:szCs w:val="32"/>
          <w:lang w:val="en-US" w:eastAsia="zh-CN"/>
        </w:rPr>
        <w:t>执法中队</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(十)营造安全放心的消费环境。</w:t>
      </w:r>
      <w:r>
        <w:rPr>
          <w:rFonts w:hint="eastAsia" w:ascii="仿宋" w:hAnsi="仿宋" w:eastAsia="仿宋" w:cs="仿宋"/>
          <w:sz w:val="32"/>
          <w:szCs w:val="32"/>
        </w:rPr>
        <w:t>畅通12345、12315热线及平台投诉举报渠道,严格处置流程,加强部门间监管协同,为市场主体提供高效、便捷的维权服务。加大对侵害消费者权益行为的打击力度,持续强化社会监督,促进企业公平竞争、诚信经营、优胜劣汰,营造安全放心的消费环境。(责任科室:</w:t>
      </w:r>
      <w:r>
        <w:rPr>
          <w:rFonts w:hint="eastAsia" w:ascii="仿宋" w:hAnsi="仿宋" w:eastAsia="仿宋" w:cs="仿宋"/>
          <w:sz w:val="32"/>
          <w:szCs w:val="32"/>
          <w:lang w:val="en-US" w:eastAsia="zh-CN"/>
        </w:rPr>
        <w:t>市场监管执法中队</w:t>
      </w:r>
      <w:r>
        <w:rPr>
          <w:rFonts w:hint="eastAsia" w:ascii="仿宋" w:hAnsi="仿宋" w:eastAsia="仿宋" w:cs="仿宋"/>
          <w:sz w:val="32"/>
          <w:szCs w:val="32"/>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四、工作要求</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(一)高度重视,强化认识。</w:t>
      </w:r>
      <w:r>
        <w:rPr>
          <w:rFonts w:hint="eastAsia" w:ascii="仿宋" w:hAnsi="仿宋" w:eastAsia="仿宋" w:cs="仿宋"/>
          <w:sz w:val="32"/>
          <w:szCs w:val="32"/>
        </w:rPr>
        <w:t>各责任科室要主动作为,密切配合、协同推进,要围绕工作目标,认真查找存在的突出问题,并制定具体的落实措施,确保各项措施精准落实。并将工作开展情况于每季度末的20日之前报</w:t>
      </w:r>
      <w:r>
        <w:rPr>
          <w:rFonts w:hint="eastAsia" w:ascii="仿宋" w:hAnsi="仿宋" w:eastAsia="仿宋" w:cs="仿宋"/>
          <w:sz w:val="32"/>
          <w:szCs w:val="32"/>
          <w:lang w:val="en-US" w:eastAsia="zh-CN"/>
        </w:rPr>
        <w:t>办公室</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(二)强化督查,务求实效。</w:t>
      </w:r>
      <w:r>
        <w:rPr>
          <w:rFonts w:hint="eastAsia" w:ascii="仿宋" w:hAnsi="仿宋" w:eastAsia="仿宋" w:cs="仿宋"/>
          <w:sz w:val="32"/>
          <w:szCs w:val="32"/>
        </w:rPr>
        <w:t>领导小组将对本方案明确的各项工作任务纳入各责任科室的年度考核,将定期组织对本方案实施举措推进情况进行监督检查,将根据各责任科室完成情况进行年度考核加减分,确保各项预定目标如期实现。</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(三)加强宣传,营造氛围。</w:t>
      </w:r>
      <w:r>
        <w:rPr>
          <w:rFonts w:hint="eastAsia" w:ascii="仿宋" w:hAnsi="仿宋" w:eastAsia="仿宋" w:cs="仿宋"/>
          <w:sz w:val="32"/>
          <w:szCs w:val="32"/>
        </w:rPr>
        <w:t>各责任科室要采取走访、问卷调查、开座谈会等方式,充分听取各类企业关于对我局优化营商环境实施举措的建议。通过</w:t>
      </w:r>
      <w:r>
        <w:rPr>
          <w:rFonts w:hint="eastAsia" w:ascii="仿宋" w:hAnsi="仿宋" w:eastAsia="仿宋" w:cs="仿宋"/>
          <w:sz w:val="32"/>
          <w:szCs w:val="32"/>
          <w:lang w:val="en-US" w:eastAsia="zh-CN"/>
        </w:rPr>
        <w:t>景区融媒体</w:t>
      </w:r>
      <w:r>
        <w:rPr>
          <w:rFonts w:hint="eastAsia" w:ascii="仿宋" w:hAnsi="仿宋" w:eastAsia="仿宋" w:cs="仿宋"/>
          <w:sz w:val="32"/>
          <w:szCs w:val="32"/>
        </w:rPr>
        <w:t>、微信公众号等形式,加大改革举措的宣传和解读,持续营造优化营商环境的浓厚社会氛围。</w:t>
      </w:r>
    </w:p>
    <w:p>
      <w:pPr>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pStyle w:val="2"/>
        <w:ind w:left="0" w:leftChars="0" w:firstLine="0" w:firstLineChars="0"/>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default"/>
          <w:lang w:val="en-US" w:eastAsia="zh-CN"/>
        </w:rPr>
      </w:pPr>
    </w:p>
    <w:p>
      <w:pPr>
        <w:widowControl w:val="0"/>
        <w:wordWrap/>
        <w:adjustRightInd/>
        <w:snapToGrid/>
        <w:spacing w:line="660" w:lineRule="exact"/>
        <w:ind w:right="0"/>
        <w:jc w:val="center"/>
        <w:textAlignment w:val="auto"/>
        <w:outlineLvl w:val="9"/>
        <w:rPr>
          <w:rFonts w:hint="eastAsia" w:ascii="仿宋_GB2312" w:hAnsi="仿宋_GB2312" w:eastAsia="仿宋_GB2312" w:cs="仿宋_GB2312"/>
          <w:sz w:val="24"/>
          <w:szCs w:val="24"/>
          <w:lang w:val="en-US" w:eastAsia="zh-CN"/>
        </w:rPr>
      </w:pPr>
      <w:r>
        <w:rPr>
          <w:rFonts w:ascii="Calibri" w:hAnsi="Calibri" w:eastAsia="宋体" w:cs="黑体"/>
          <w:kern w:val="2"/>
          <w:sz w:val="24"/>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80645</wp:posOffset>
                </wp:positionV>
                <wp:extent cx="5593715" cy="635"/>
                <wp:effectExtent l="0" t="0" r="0" b="0"/>
                <wp:wrapNone/>
                <wp:docPr id="40" name="直接连接符 40"/>
                <wp:cNvGraphicFramePr/>
                <a:graphic xmlns:a="http://schemas.openxmlformats.org/drawingml/2006/main">
                  <a:graphicData uri="http://schemas.microsoft.com/office/word/2010/wordprocessingShape">
                    <wps:wsp>
                      <wps:cNvCnPr/>
                      <wps:spPr>
                        <a:xfrm>
                          <a:off x="0" y="0"/>
                          <a:ext cx="5593715" cy="63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pt;margin-top:6.35pt;height:0.05pt;width:440.45pt;z-index:251660288;mso-width-relative:page;mso-height-relative:page;" filled="f" stroked="t" coordsize="21600,21600" o:gfxdata="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sKKP9MAAAAHAQAADwAAAAAAAAABACAAAAAiAAAAZHJzL2Rvd25yZXYueG1s&#10;UEsBAhQAFAAAAAgAh07iQLtvNB/9AQAA9wMAAA4AAAAAAAAAAQAgAAAAIgEAAGRycy9lMm9Eb2Mu&#10;eG1sUEsFBgAAAAAGAAYAWQEAAJEFAAAAAA==&#10;">
                <v:fill on="f" focussize="0,0"/>
                <v:stroke weight="1.5pt"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五台山风景名胜区市场监督管理局        2022年10月17日印发</w:t>
      </w:r>
    </w:p>
    <w:p>
      <w:pPr>
        <w:rPr>
          <w:rFonts w:hint="eastAsia" w:ascii="黑体" w:hAnsi="黑体" w:eastAsia="黑体" w:cs="黑体"/>
          <w:sz w:val="32"/>
          <w:szCs w:val="32"/>
          <w:lang w:eastAsia="zh-CN"/>
        </w:rPr>
      </w:pPr>
      <w:r>
        <w:rPr>
          <w:rFonts w:ascii="Calibri" w:hAnsi="Calibri" w:eastAsia="宋体" w:cs="黑体"/>
          <w:kern w:val="2"/>
          <w:sz w:val="32"/>
          <w:szCs w:val="24"/>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28575</wp:posOffset>
                </wp:positionV>
                <wp:extent cx="5593715" cy="635"/>
                <wp:effectExtent l="0" t="0" r="0" b="0"/>
                <wp:wrapNone/>
                <wp:docPr id="41" name="直接连接符 41"/>
                <wp:cNvGraphicFramePr/>
                <a:graphic xmlns:a="http://schemas.openxmlformats.org/drawingml/2006/main">
                  <a:graphicData uri="http://schemas.microsoft.com/office/word/2010/wordprocessingShape">
                    <wps:wsp>
                      <wps:cNvCnPr/>
                      <wps:spPr>
                        <a:xfrm>
                          <a:off x="0" y="0"/>
                          <a:ext cx="5593715" cy="63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85pt;margin-top:2.25pt;height:0.05pt;width:440.45pt;z-index:251661312;mso-width-relative:page;mso-height-relative:page;" filled="f" stroked="t" coordsize="21600,21600" o:gfxdata="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sTdIAAAAFAQAADwAAAAAAAAABACAAAAAiAAAAZHJzL2Rvd25yZXYueG1s&#10;UEsBAhQAFAAAAAgAh07iQLYVWxv+AQAA9wMAAA4AAAAAAAAAAQAgAAAAIQEAAGRycy9lMm9Eb2Mu&#10;eG1sUEsFBgAAAAAGAAYAWQEAAJEFAAAAAA==&#10;">
                <v:fill on="f" focussize="0,0"/>
                <v:stroke weight="1.5pt"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 xml:space="preserve">                                                    共印10份</w:t>
      </w: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18C57AB-094B-4642-873C-C7D356845EC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FAAA95A-D1D9-4813-BB5B-8FC021D78098}"/>
  </w:font>
  <w:font w:name="CESI仿宋-GB2312">
    <w:altName w:val="仿宋"/>
    <w:panose1 w:val="02000500000000000000"/>
    <w:charset w:val="00"/>
    <w:family w:val="auto"/>
    <w:pitch w:val="default"/>
    <w:sig w:usb0="00000000" w:usb1="00000000" w:usb2="00000010" w:usb3="00000000" w:csb0="0004000F" w:csb1="00000000"/>
    <w:embedRegular r:id="rId3" w:fontKey="{7A1F87A6-A6AA-4804-B56F-0ECB3FFE36F2}"/>
  </w:font>
  <w:font w:name="仿宋">
    <w:panose1 w:val="02010609060101010101"/>
    <w:charset w:val="86"/>
    <w:family w:val="auto"/>
    <w:pitch w:val="default"/>
    <w:sig w:usb0="800002BF" w:usb1="38CF7CFA" w:usb2="00000016" w:usb3="00000000" w:csb0="00040001" w:csb1="00000000"/>
    <w:embedRegular r:id="rId4" w:fontKey="{C87C5AF6-C2BB-44D1-BD36-87BDE02F7442}"/>
  </w:font>
  <w:font w:name="方正小标宋简体">
    <w:panose1 w:val="02000000000000000000"/>
    <w:charset w:val="86"/>
    <w:family w:val="auto"/>
    <w:pitch w:val="default"/>
    <w:sig w:usb0="00000001" w:usb1="08000000" w:usb2="00000000" w:usb3="00000000" w:csb0="00040000" w:csb1="00000000"/>
    <w:embedRegular r:id="rId5" w:fontKey="{B95957A9-A752-427B-84A7-F611686774A1}"/>
  </w:font>
  <w:font w:name="楷体">
    <w:panose1 w:val="02010609060101010101"/>
    <w:charset w:val="86"/>
    <w:family w:val="auto"/>
    <w:pitch w:val="default"/>
    <w:sig w:usb0="800002BF" w:usb1="38CF7CFA" w:usb2="00000016" w:usb3="00000000" w:csb0="00040001" w:csb1="00000000"/>
    <w:embedRegular r:id="rId6" w:fontKey="{4ED47DF4-D1DC-4AF3-B133-55CE0D7DE0F3}"/>
  </w:font>
  <w:font w:name="仿宋_GB2312">
    <w:altName w:val="仿宋"/>
    <w:panose1 w:val="02010609030101010101"/>
    <w:charset w:val="86"/>
    <w:family w:val="auto"/>
    <w:pitch w:val="default"/>
    <w:sig w:usb0="00000000" w:usb1="00000000" w:usb2="00000000" w:usb3="00000000" w:csb0="00040000" w:csb1="00000000"/>
    <w:embedRegular r:id="rId7" w:fontKey="{7CE2D001-015C-4D89-803E-B437ED3C1D66}"/>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1YTJkNWI4ZTljYjNmMmM5ZTFiOTEyOWYwN2RkZjMifQ=="/>
  </w:docVars>
  <w:rsids>
    <w:rsidRoot w:val="00000000"/>
    <w:rsid w:val="052102F4"/>
    <w:rsid w:val="08AC4379"/>
    <w:rsid w:val="1BB2184F"/>
    <w:rsid w:val="39815082"/>
    <w:rsid w:val="3DDC2A2F"/>
    <w:rsid w:val="4D1B1A68"/>
    <w:rsid w:val="55FF6E63"/>
    <w:rsid w:val="70387369"/>
    <w:rsid w:val="76CA6BC2"/>
    <w:rsid w:val="77F12A70"/>
    <w:rsid w:val="7E983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1"/>
    <w:qFormat/>
    <w:uiPriority w:val="0"/>
    <w:pPr>
      <w:ind w:firstLine="200" w:firstLineChars="200"/>
    </w:pPr>
  </w:style>
  <w:style w:type="paragraph" w:customStyle="1" w:styleId="3">
    <w:name w:val="正文文本缩进1"/>
    <w:basedOn w:val="1"/>
    <w:qFormat/>
    <w:uiPriority w:val="0"/>
    <w:pPr>
      <w:ind w:left="200" w:leftChars="200"/>
    </w:p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2867</Words>
  <Characters>2898</Characters>
  <Lines>0</Lines>
  <Paragraphs>0</Paragraphs>
  <TotalTime>2</TotalTime>
  <ScaleCrop>false</ScaleCrop>
  <LinksUpToDate>false</LinksUpToDate>
  <CharactersWithSpaces>2976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2023-03-01T00:42:00Z</dcterms:created>
  <dc:creator>Administrator</dc:creator>
  <cp:lastModifiedBy>夏、微凉ゝ</cp:lastModifiedBy>
  <dcterms:modified xsi:type="dcterms:W3CDTF">2023-03-01T08:00:28Z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FF1B9CBDBB764B2092DFDF26D11FD26B</vt:lpwstr>
  </property>
</Properties>
</file>